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44"/>
        </w:rPr>
        <w:t>METODOLOGÍA</w:t>
      </w:r>
    </w:p>
    <w:p>
      <w:pPr>
        <w:jc w:val="center"/>
      </w:pPr>
      <w:r>
        <w:rPr>
          <w:b/>
          <w:color w:val="E5007D"/>
          <w:sz w:val="32"/>
        </w:rPr>
        <w:t>Índice de Brecha Territorial de Cuidado (IBTC)</w:t>
      </w:r>
    </w:p>
    <w:p>
      <w:pPr>
        <w:jc w:val="center"/>
      </w:pPr>
      <w:r>
        <w:rPr>
          <w:color w:val="4A4A6A"/>
          <w:sz w:val="24"/>
        </w:rPr>
        <w:t>Atlas Territorial de Brechas de Cuidado · Ecuador · 2022</w:t>
      </w:r>
    </w:p>
    <w:p/>
    <w:p>
      <w:pPr>
        <w:jc w:val="center"/>
      </w:pPr>
      <w:r>
        <w:rPr>
          <w:b/>
          <w:color w:val="E5007D"/>
          <w:sz w:val="22"/>
        </w:rPr>
        <w:t>DAT4CCIÓN 2026 — Datatón Regional para la Igualdad</w:t>
      </w:r>
    </w:p>
    <w:p>
      <w:pPr>
        <w:jc w:val="center"/>
      </w:pPr>
      <w:r>
        <w:rPr>
          <w:color w:val="4A4A6A"/>
          <w:sz w:val="20"/>
        </w:rPr>
        <w:t>ONU Mujeres  |  Abril 2026</w:t>
      </w:r>
    </w:p>
    <w:p>
      <w:r>
        <w:br w:type="page"/>
      </w:r>
    </w:p>
    <w:p>
      <w:pPr>
        <w:pStyle w:val="Heading1"/>
      </w:pPr>
      <w:r>
        <w:rPr>
          <w:color w:val="E5007D"/>
        </w:rPr>
        <w:t>1. Objetivo del IBTC</w:t>
      </w:r>
    </w:p>
    <w:p>
      <w:pPr>
        <w:spacing w:after="80"/>
        <w:ind w:left="0"/>
      </w:pPr>
      <w:r>
        <w:rPr>
          <w:b w:val="0"/>
          <w:i w:val="0"/>
          <w:sz w:val="20"/>
        </w:rPr>
        <w:t>El Índice de Brecha Territorial de Cuidado (IBTC) es un indicador sintético diseñado para identificar y clasificar los 221 cantones de Ecuador según la magnitud de su déficit territorial de cuidado. Su propósito central es operacionalizar la desigualdad de género en el trabajo de cuidado no remunerado en una escala territorial directamente accionable para la política pública, permitiendo priorizar la expansión de servicios CDI y CNH hacia los territorios con mayor acumulación de brechas.</w:t>
      </w:r>
    </w:p>
    <w:p>
      <w:pPr>
        <w:spacing w:after="80"/>
        <w:ind w:left="0"/>
      </w:pPr>
      <w:r>
        <w:rPr>
          <w:b w:val="0"/>
          <w:i w:val="0"/>
          <w:sz w:val="20"/>
        </w:rPr>
        <w:t>El IBTC responde a una necesidad concreta: los promedios nacionales ocultan la heterogeneidad territorial de las brechas de cuidado. Algunos cantones concentran simultáneamente alta demanda potencial, baja oferta institucional y alta vulnerabilidad estructural, configurando territorios con urgencia diferenciada de intervención que las estadísticas agregadas no permiten visibilizar.</w:t>
      </w:r>
    </w:p>
    <w:p>
      <w:pPr>
        <w:spacing w:after="80"/>
        <w:ind w:left="0"/>
      </w:pPr>
      <w:r>
        <w:rPr>
          <w:b w:val="0"/>
          <w:i w:val="0"/>
          <w:sz w:val="20"/>
        </w:rPr>
        <w:t>El Atlas fue desarrollado en el marco del DAT4CCIÓN 2026 — Datatón Regional para la Igualdad, organizado por ONU Mujeres, en un momento de particular relevancia normativa: el año posterior al reconocimiento del derecho humano al cuidado por la Corte Interamericana de Derechos Humanos (agosto 2025).</w:t>
      </w:r>
    </w:p>
    <w:p>
      <w:pPr>
        <w:pStyle w:val="Heading1"/>
      </w:pPr>
      <w:r>
        <w:rPr>
          <w:color w:val="E5007D"/>
        </w:rPr>
        <w:t>2. Fuentes de datos</w:t>
      </w:r>
    </w:p>
    <w:p>
      <w:pPr>
        <w:spacing w:after="80"/>
        <w:ind w:left="0"/>
      </w:pPr>
      <w:r>
        <w:rPr>
          <w:b w:val="0"/>
          <w:i w:val="0"/>
          <w:sz w:val="20"/>
        </w:rPr>
        <w:t>El IBTC integra cuatro fuentes de acceso público, abiertas y gratuitas. Todas fueron verificadas antes de la inscripción al DAT4CCIÓN 2026:</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5"/>
          </w:tcPr>
          <w:p/>
        </w:tc>
        <w:tc>
          <w:tcPr>
            <w:tcW w:type="dxa" w:w="1984"/>
          </w:tcPr>
          <w:p/>
        </w:tc>
        <w:tc>
          <w:tcPr>
            <w:tcW w:type="dxa" w:w="3969"/>
          </w:tcPr>
          <w:p/>
        </w:tc>
        <w:tc>
          <w:tcPr>
            <w:tcW w:type="dxa" w:w="1984"/>
          </w:tcPr>
          <w:p/>
        </w:tc>
      </w:tr>
      <w:tr>
        <w:tc>
          <w:tcPr>
            <w:tcW w:type="dxa" w:w="2835"/>
            <w:vAlign w:val="center"/>
            <w:shd w:val="clear" w:color="auto" w:fill="1A1A2E"/>
          </w:tcPr>
          <w:p>
            <w:pPr>
              <w:jc w:val="left"/>
            </w:pPr>
            <w:r>
              <w:rPr>
                <w:b/>
                <w:color w:val="FFFFFF"/>
                <w:sz w:val="18"/>
              </w:rPr>
              <w:t>Fuente</w:t>
            </w:r>
          </w:p>
        </w:tc>
        <w:tc>
          <w:tcPr>
            <w:tcW w:type="dxa" w:w="1984"/>
            <w:vAlign w:val="center"/>
            <w:shd w:val="clear" w:color="auto" w:fill="1A1A2E"/>
          </w:tcPr>
          <w:p>
            <w:pPr>
              <w:jc w:val="left"/>
            </w:pPr>
            <w:r>
              <w:rPr>
                <w:b/>
                <w:color w:val="FFFFFF"/>
                <w:sz w:val="18"/>
              </w:rPr>
              <w:t>Institución</w:t>
            </w:r>
          </w:p>
        </w:tc>
        <w:tc>
          <w:tcPr>
            <w:tcW w:type="dxa" w:w="3969"/>
            <w:vAlign w:val="center"/>
            <w:shd w:val="clear" w:color="auto" w:fill="1A1A2E"/>
          </w:tcPr>
          <w:p>
            <w:pPr>
              <w:jc w:val="left"/>
            </w:pPr>
            <w:r>
              <w:rPr>
                <w:b/>
                <w:color w:val="FFFFFF"/>
                <w:sz w:val="18"/>
              </w:rPr>
              <w:t>Variables</w:t>
            </w:r>
          </w:p>
        </w:tc>
        <w:tc>
          <w:tcPr>
            <w:tcW w:type="dxa" w:w="1984"/>
            <w:vAlign w:val="center"/>
            <w:shd w:val="clear" w:color="auto" w:fill="1A1A2E"/>
          </w:tcPr>
          <w:p>
            <w:pPr>
              <w:jc w:val="left"/>
            </w:pPr>
            <w:r>
              <w:rPr>
                <w:b/>
                <w:color w:val="FFFFFF"/>
                <w:sz w:val="18"/>
              </w:rPr>
              <w:t>Disponibilidad</w:t>
            </w:r>
          </w:p>
        </w:tc>
      </w:tr>
      <w:tr>
        <w:tc>
          <w:tcPr>
            <w:tcW w:type="dxa" w:w="2280"/>
          </w:tcPr>
          <w:p>
            <w:r>
              <w:rPr>
                <w:sz w:val="17"/>
              </w:rPr>
              <w:t>Censo de Población y Vivienda 2022</w:t>
            </w:r>
          </w:p>
        </w:tc>
        <w:tc>
          <w:tcPr>
            <w:tcW w:type="dxa" w:w="2280"/>
          </w:tcPr>
          <w:p>
            <w:r>
              <w:rPr>
                <w:sz w:val="17"/>
              </w:rPr>
              <w:t>INEC Ecuador</w:t>
              <w:br/>
              <w:t>ecuadorencifras.gob.ec</w:t>
            </w:r>
          </w:p>
        </w:tc>
        <w:tc>
          <w:tcPr>
            <w:tcW w:type="dxa" w:w="2280"/>
          </w:tcPr>
          <w:p>
            <w:r>
              <w:rPr>
                <w:sz w:val="17"/>
              </w:rPr>
              <w:t>Edad (P03), sexo (P01), relación con jefe/a (P02), dificultades funcionales (DFUNC), NBI. Archivo: CPV_2022_Población_Canton.csv (16.9M filas) y CPV_2022_Hogar_Canton.csv (5.2M filas). Separador: punto y coma (;).</w:t>
            </w:r>
          </w:p>
        </w:tc>
        <w:tc>
          <w:tcPr>
            <w:tcW w:type="dxa" w:w="2280"/>
          </w:tcPr>
          <w:p>
            <w:r>
              <w:rPr>
                <w:color w:val="006600"/>
                <w:sz w:val="17"/>
              </w:rPr>
              <w:t>✓ Disponible</w:t>
            </w:r>
          </w:p>
        </w:tc>
      </w:tr>
      <w:tr>
        <w:tc>
          <w:tcPr>
            <w:tcW w:type="dxa" w:w="2280"/>
          </w:tcPr>
          <w:p>
            <w:r>
              <w:rPr>
                <w:sz w:val="17"/>
              </w:rPr>
              <w:t>Cuenta Satélite del Trabajo No Remunerado 2023</w:t>
            </w:r>
          </w:p>
        </w:tc>
        <w:tc>
          <w:tcPr>
            <w:tcW w:type="dxa" w:w="2280"/>
          </w:tcPr>
          <w:p>
            <w:r>
              <w:rPr>
                <w:sz w:val="17"/>
              </w:rPr>
              <w:t>INEC Ecuador</w:t>
              <w:br/>
              <w:t>ecuadorencifras.gob.ec</w:t>
            </w:r>
          </w:p>
        </w:tc>
        <w:tc>
          <w:tcPr>
            <w:tcW w:type="dxa" w:w="2280"/>
          </w:tcPr>
          <w:p>
            <w:r>
              <w:rPr>
                <w:sz w:val="17"/>
              </w:rPr>
              <w:t>Horas totales TNR por sexo (nacional): mujeres 9.922.965 miles de horas, hombres 3.265.866 miles de horas. Brecha: mujeres dedican 3.04x más horas. Solo disponible a escala nacional y provincial.</w:t>
            </w:r>
          </w:p>
        </w:tc>
        <w:tc>
          <w:tcPr>
            <w:tcW w:type="dxa" w:w="2280"/>
          </w:tcPr>
          <w:p>
            <w:r>
              <w:rPr>
                <w:color w:val="006600"/>
                <w:sz w:val="17"/>
              </w:rPr>
              <w:t>✓ Disponible</w:t>
              <w:br/>
              <w:t>(solo escala nacional/provincial)</w:t>
            </w:r>
          </w:p>
        </w:tc>
      </w:tr>
      <w:tr>
        <w:tc>
          <w:tcPr>
            <w:tcW w:type="dxa" w:w="2280"/>
          </w:tcPr>
          <w:p>
            <w:r>
              <w:rPr>
                <w:sz w:val="17"/>
              </w:rPr>
              <w:t>SIIMIES Q4 2024 — Usuarios CDI/CNH</w:t>
            </w:r>
          </w:p>
        </w:tc>
        <w:tc>
          <w:tcPr>
            <w:tcW w:type="dxa" w:w="2280"/>
          </w:tcPr>
          <w:p>
            <w:r>
              <w:rPr>
                <w:sz w:val="17"/>
              </w:rPr>
              <w:t>MIES Ecuador</w:t>
              <w:br/>
              <w:t>datosabiertos.gob.ec</w:t>
            </w:r>
          </w:p>
        </w:tc>
        <w:tc>
          <w:tcPr>
            <w:tcW w:type="dxa" w:w="2280"/>
          </w:tcPr>
          <w:p>
            <w:r>
              <w:rPr>
                <w:sz w:val="17"/>
              </w:rPr>
              <w:t>Usuarios atendidos por modalidad y cantón (CDI, CNH).</w:t>
            </w:r>
          </w:p>
        </w:tc>
        <w:tc>
          <w:tcPr>
            <w:tcW w:type="dxa" w:w="2280"/>
          </w:tcPr>
          <w:p>
            <w:r>
              <w:rPr>
                <w:color w:val="B22222"/>
                <w:sz w:val="17"/>
              </w:rPr>
              <w:t>✗ No disponible</w:t>
              <w:br/>
              <w:t>(portal caído durante procesamiento)</w:t>
            </w:r>
          </w:p>
        </w:tc>
      </w:tr>
      <w:tr>
        <w:tc>
          <w:tcPr>
            <w:tcW w:type="dxa" w:w="2280"/>
          </w:tcPr>
          <w:p>
            <w:r>
              <w:rPr>
                <w:sz w:val="17"/>
              </w:rPr>
              <w:t>División Político-Administrativa</w:t>
            </w:r>
          </w:p>
        </w:tc>
        <w:tc>
          <w:tcPr>
            <w:tcW w:type="dxa" w:w="2280"/>
          </w:tcPr>
          <w:p>
            <w:r>
              <w:rPr>
                <w:sz w:val="17"/>
              </w:rPr>
              <w:t>CONALI / IGM</w:t>
              <w:br/>
              <w:t>geoportaligm.gob.ec</w:t>
            </w:r>
          </w:p>
        </w:tc>
        <w:tc>
          <w:tcPr>
            <w:tcW w:type="dxa" w:w="2280"/>
          </w:tcPr>
          <w:p>
            <w:r>
              <w:rPr>
                <w:sz w:val="17"/>
              </w:rPr>
              <w:t>Shapefile límites cantonales 221 polígonos. Campos: CODPRO, PROVINCIA, CODCAN, CANTON. CRS origen: EPSG:32717. Procesado en EPSG:4326.</w:t>
            </w:r>
          </w:p>
        </w:tc>
        <w:tc>
          <w:tcPr>
            <w:tcW w:type="dxa" w:w="2280"/>
          </w:tcPr>
          <w:p>
            <w:r>
              <w:rPr>
                <w:color w:val="006600"/>
                <w:sz w:val="17"/>
              </w:rPr>
              <w:t>✓ Disponible</w:t>
              <w:br/>
              <w:t>CONALI 2022</w:t>
            </w:r>
          </w:p>
        </w:tc>
      </w:tr>
    </w:tbl>
    <w:p/>
    <w:p>
      <w:pPr>
        <w:pStyle w:val="Heading1"/>
      </w:pPr>
      <w:r>
        <w:rPr>
          <w:color w:val="E5007D"/>
        </w:rPr>
        <w:t>3. Dimensiones del IBTC</w:t>
      </w:r>
    </w:p>
    <w:p>
      <w:pPr>
        <w:spacing w:after="80"/>
        <w:ind w:left="0"/>
      </w:pPr>
      <w:r>
        <w:rPr>
          <w:b w:val="0"/>
          <w:i w:val="0"/>
          <w:sz w:val="20"/>
        </w:rPr>
        <w:t>El IBTC integra tres dimensiones complementarias que capturan distintos aspectos del déficit territorial de cuidado:</w:t>
      </w:r>
    </w:p>
    <w:p>
      <w:pPr>
        <w:pStyle w:val="Heading2"/>
      </w:pPr>
      <w:r>
        <w:rPr>
          <w:color w:val="1A1A2E"/>
        </w:rPr>
        <w:t>3.1 D1 — Demanda Potencial de Cuidados (peso: 40%)</w:t>
      </w:r>
    </w:p>
    <w:p>
      <w:pPr>
        <w:spacing w:after="80"/>
        <w:ind w:left="0"/>
      </w:pPr>
      <w:r>
        <w:rPr>
          <w:b w:val="0"/>
          <w:i w:val="0"/>
          <w:sz w:val="20"/>
        </w:rPr>
        <w:t>Mide la concentración cantonal de población con mayor necesidad potencial de servicios de cuidado. Se construye desde el Censo 2022 con cuatro variables:</w:t>
      </w:r>
    </w:p>
    <w:p>
      <w:pPr>
        <w:pStyle w:val="ListBullet"/>
        <w:ind w:left="567"/>
      </w:pPr>
      <w:r>
        <w:rPr>
          <w:sz w:val="19"/>
        </w:rPr>
        <w:t>Porcentaje de población menor de 5 años (variable P03 &lt; 5)</w:t>
      </w:r>
    </w:p>
    <w:p>
      <w:pPr>
        <w:pStyle w:val="ListBullet"/>
        <w:ind w:left="567"/>
      </w:pPr>
      <w:r>
        <w:rPr>
          <w:sz w:val="19"/>
        </w:rPr>
        <w:t>Porcentaje de población mayor de 65 años (variable P03 ≥ 65)</w:t>
      </w:r>
    </w:p>
    <w:p>
      <w:pPr>
        <w:pStyle w:val="ListBullet"/>
        <w:ind w:left="567"/>
      </w:pPr>
      <w:r>
        <w:rPr>
          <w:sz w:val="19"/>
        </w:rPr>
        <w:t>Porcentaje de personas con dificultades funcionales (DFUNC = 1)</w:t>
      </w:r>
    </w:p>
    <w:p>
      <w:pPr>
        <w:pStyle w:val="ListBullet"/>
        <w:ind w:left="567"/>
      </w:pPr>
      <w:r>
        <w:rPr>
          <w:sz w:val="19"/>
        </w:rPr>
        <w:t>Porcentaje de hogares con jefatura femenina sin pareja (P01=2 y P02=1)</w:t>
      </w:r>
    </w:p>
    <w:p>
      <w:pPr>
        <w:spacing w:after="80"/>
        <w:ind w:left="0"/>
      </w:pPr>
      <w:r>
        <w:rPr>
          <w:b/>
          <w:i w:val="0"/>
          <w:sz w:val="20"/>
        </w:rPr>
        <w:t>Proceso de construcción:</w:t>
      </w:r>
    </w:p>
    <w:p>
      <w:pPr>
        <w:spacing w:after="80"/>
        <w:ind w:left="283"/>
      </w:pPr>
      <w:r>
        <w:rPr>
          <w:b w:val="0"/>
          <w:i w:val="0"/>
          <w:sz w:val="19"/>
        </w:rPr>
        <w:t>1. Cada variable se calcula como porcentaje sobre la población o hogares totales del cantón.</w:t>
      </w:r>
    </w:p>
    <w:p>
      <w:pPr>
        <w:spacing w:after="80"/>
        <w:ind w:left="283"/>
      </w:pPr>
      <w:r>
        <w:rPr>
          <w:b w:val="0"/>
          <w:i w:val="0"/>
          <w:sz w:val="19"/>
        </w:rPr>
        <w:t>2. Cada componente se normaliza al rango [0,1] mediante min-max: X_norm = (X - X_min) / (X_max - X_min).</w:t>
      </w:r>
    </w:p>
    <w:p>
      <w:pPr>
        <w:spacing w:after="80"/>
        <w:ind w:left="283"/>
      </w:pPr>
      <w:r>
        <w:rPr>
          <w:b w:val="0"/>
          <w:i w:val="0"/>
          <w:sz w:val="19"/>
        </w:rPr>
        <w:t>3. D1 = promedio simple de los 4 componentes normalizados.</w:t>
      </w:r>
    </w:p>
    <w:p>
      <w:pPr>
        <w:spacing w:after="80"/>
        <w:ind w:left="283"/>
      </w:pPr>
      <w:r>
        <w:rPr>
          <w:b w:val="0"/>
          <w:i w:val="0"/>
          <w:sz w:val="19"/>
        </w:rPr>
        <w:t>4. D1_norm = normalización min-max de D1 al rango [0,1].</w:t>
      </w:r>
    </w:p>
    <w:p>
      <w:pPr>
        <w:spacing w:after="80"/>
        <w:ind w:left="283"/>
      </w:pPr>
      <w:r>
        <w:rPr>
          <w:b w:val="0"/>
          <w:i w:val="0"/>
          <w:sz w:val="19"/>
        </w:rPr>
        <w:t xml:space="preserve">   Rango observado Ecuador 2022: D1_norm entre 0.209 y 0.578.</w:t>
      </w:r>
    </w:p>
    <w:p>
      <w:pPr>
        <w:pStyle w:val="Heading2"/>
      </w:pPr>
      <w:r>
        <w:rPr>
          <w:color w:val="1A1A2E"/>
        </w:rPr>
        <w:t>3.2 D2 — Oferta Institucional de Cuidado (peso: 40%)</w:t>
      </w:r>
    </w:p>
    <w:p>
      <w:pPr>
        <w:spacing w:after="80"/>
        <w:ind w:left="0"/>
      </w:pPr>
      <w:r>
        <w:rPr>
          <w:b w:val="0"/>
          <w:i w:val="0"/>
          <w:sz w:val="20"/>
        </w:rPr>
        <w:t>Mide la disponibilidad relativa de servicios institucionales de cuidado infantil (CDI y CNH) en cada cantón. En el diseño original del IBTC, D2 debía construirse como la tasa de cobertura CDI/CNH: usuarios atendidos / población 0-3 años, invertida (1 - cobertura) para que mayor brecha de oferta = mayor valor.</w:t>
      </w:r>
    </w:p>
    <w:p>
      <w:pPr>
        <w:spacing w:after="80"/>
        <w:ind w:left="0"/>
      </w:pPr>
      <w:r>
        <w:rPr>
          <w:b/>
          <w:i w:val="0"/>
          <w:color w:val="B22222"/>
          <w:sz w:val="20"/>
        </w:rPr>
        <w:t>Limitación y solución adoptada:</w:t>
      </w:r>
    </w:p>
    <w:p>
      <w:pPr>
        <w:spacing w:after="80"/>
        <w:ind w:left="0"/>
      </w:pPr>
      <w:r>
        <w:rPr>
          <w:b w:val="0"/>
          <w:i w:val="0"/>
          <w:sz w:val="19"/>
        </w:rPr>
        <w:t>Los datos del MIES (SIIMIES Q4 2024, datosabiertos.gob.ec) no estuvieron disponibles durante el procesamiento por falla del portal. Se adoptó un proxy censal: el ratio de población de 0 a 3 años sobre la población total cantonal (Censo 2022). Este proxy captura la presión de demanda infantil en ausencia de datos de cobertura verificados.</w:t>
      </w:r>
    </w:p>
    <w:p>
      <w:pPr>
        <w:spacing w:after="80"/>
        <w:ind w:left="283"/>
      </w:pPr>
      <w:r>
        <w:rPr>
          <w:b w:val="0"/>
          <w:i w:val="0"/>
          <w:sz w:val="19"/>
        </w:rPr>
        <w:t>1. D2 = pob_0_3 / pob_total por cantón (desde Censo 2022, variable P03 ≤ 3).</w:t>
      </w:r>
    </w:p>
    <w:p>
      <w:pPr>
        <w:spacing w:after="80"/>
        <w:ind w:left="283"/>
      </w:pPr>
      <w:r>
        <w:rPr>
          <w:b w:val="0"/>
          <w:i w:val="0"/>
          <w:sz w:val="19"/>
        </w:rPr>
        <w:t>2. D2_norm = normalización min-max al rango [0,1].</w:t>
      </w:r>
    </w:p>
    <w:p>
      <w:pPr>
        <w:spacing w:after="80"/>
        <w:ind w:left="283"/>
      </w:pPr>
      <w:r>
        <w:rPr>
          <w:b w:val="0"/>
          <w:i w:val="0"/>
          <w:sz w:val="19"/>
        </w:rPr>
        <w:t xml:space="preserve">   Rango observado: D2_norm entre 0.000 y 1.000.</w:t>
      </w:r>
    </w:p>
    <w:p>
      <w:pPr>
        <w:spacing w:after="80"/>
        <w:ind w:left="283"/>
      </w:pPr>
      <w:r>
        <w:rPr>
          <w:b w:val="0"/>
          <w:i w:val="0"/>
          <w:sz w:val="19"/>
        </w:rPr>
        <w:t xml:space="preserve">   Nota: el valor 1.000 corresponde al cantón con mayor proporción de primera infancia.</w:t>
      </w:r>
    </w:p>
    <w:p>
      <w:pPr>
        <w:pStyle w:val="Heading2"/>
      </w:pPr>
      <w:r>
        <w:rPr>
          <w:color w:val="1A1A2E"/>
        </w:rPr>
        <w:t>3.3 D3 — Carga Estructural de Trabajo No Remunerado (peso: 20%)</w:t>
      </w:r>
    </w:p>
    <w:p>
      <w:pPr>
        <w:spacing w:after="80"/>
        <w:ind w:left="0"/>
      </w:pPr>
      <w:r>
        <w:rPr>
          <w:b w:val="0"/>
          <w:i w:val="0"/>
          <w:sz w:val="20"/>
        </w:rPr>
        <w:t>Captura la vulnerabilidad estructural del territorio como contexto amplificador de la carga de trabajo no remunerado sobre las mujeres. En cantones con alta pobreza estructural, la ausencia de servicios públicos y la informalidad económica intensifican la dependencia del trabajo doméstico y de cuidado no remunerado.</w:t>
      </w:r>
    </w:p>
    <w:p>
      <w:pPr>
        <w:spacing w:after="80"/>
        <w:ind w:left="0"/>
      </w:pPr>
      <w:r>
        <w:rPr>
          <w:b/>
          <w:i w:val="0"/>
          <w:color w:val="B22222"/>
          <w:sz w:val="20"/>
        </w:rPr>
        <w:t>Limitación y solución adoptada:</w:t>
      </w:r>
    </w:p>
    <w:p>
      <w:pPr>
        <w:spacing w:after="80"/>
        <w:ind w:left="0"/>
      </w:pPr>
      <w:r>
        <w:rPr>
          <w:b w:val="0"/>
          <w:i w:val="0"/>
          <w:sz w:val="19"/>
        </w:rPr>
        <w:t>La Cuenta Satélite del Trabajo No Remunerado 2023 (CNRH, INEC) no tiene desagregación cantonal. Sus resultados están disponibles únicamente a escala nacional y provincial. Se adoptó como proxy el porcentaje de hogares con Necesidades Básicas Insatisfechas (NBI) del Censo 2022, que correlaciona positivamente con la carga estructural de cuidado no remunerado.</w:t>
      </w:r>
    </w:p>
    <w:p>
      <w:pPr>
        <w:spacing w:after="80"/>
        <w:ind w:left="283"/>
      </w:pPr>
      <w:r>
        <w:rPr>
          <w:b w:val="0"/>
          <w:i w:val="0"/>
          <w:sz w:val="19"/>
        </w:rPr>
        <w:t>1. D3 = % hogares con NBI por cantón (variable NBI=1 en Censo 2022).</w:t>
      </w:r>
    </w:p>
    <w:p>
      <w:pPr>
        <w:spacing w:after="80"/>
        <w:ind w:left="283"/>
      </w:pPr>
      <w:r>
        <w:rPr>
          <w:b w:val="0"/>
          <w:i w:val="0"/>
          <w:sz w:val="19"/>
        </w:rPr>
        <w:t>2. D3_norm = normalización min-max al rango [0,1].</w:t>
      </w:r>
    </w:p>
    <w:p>
      <w:pPr>
        <w:spacing w:after="80"/>
        <w:ind w:left="283"/>
      </w:pPr>
      <w:r>
        <w:rPr>
          <w:b w:val="0"/>
          <w:i w:val="0"/>
          <w:sz w:val="19"/>
        </w:rPr>
        <w:t xml:space="preserve">   Rango observado: D3_norm entre 0.000 y 1.000.</w:t>
      </w:r>
    </w:p>
    <w:p>
      <w:pPr>
        <w:spacing w:after="80"/>
        <w:ind w:left="283"/>
      </w:pPr>
      <w:r>
        <w:rPr>
          <w:b w:val="0"/>
          <w:i w:val="0"/>
          <w:sz w:val="19"/>
        </w:rPr>
        <w:t>Referencia CNRH 2023 (escala nacional): mujeres 9.922.965 miles de horas TNR,</w:t>
      </w:r>
    </w:p>
    <w:p>
      <w:pPr>
        <w:spacing w:after="80"/>
        <w:ind w:left="283"/>
      </w:pPr>
      <w:r>
        <w:rPr>
          <w:b w:val="0"/>
          <w:i w:val="0"/>
          <w:sz w:val="19"/>
        </w:rPr>
        <w:t>hombres 3.265.866 miles de horas. Brecha: las mujeres dedican 3.04 veces más</w:t>
      </w:r>
    </w:p>
    <w:p>
      <w:pPr>
        <w:spacing w:after="80"/>
        <w:ind w:left="283"/>
      </w:pPr>
      <w:r>
        <w:rPr>
          <w:b w:val="0"/>
          <w:i w:val="0"/>
          <w:sz w:val="19"/>
        </w:rPr>
        <w:t>horas al trabajo no remunerado que los hombres.</w:t>
      </w:r>
    </w:p>
    <w:p>
      <w:pPr>
        <w:pStyle w:val="Heading1"/>
      </w:pPr>
      <w:r>
        <w:rPr>
          <w:color w:val="E5007D"/>
        </w:rPr>
        <w:t>4. Fórmula del IBTC</w:t>
      </w:r>
    </w:p>
    <w:p>
      <w:pPr>
        <w:spacing w:before="160" w:after="160"/>
        <w:jc w:val="center"/>
      </w:pPr>
      <w:r>
        <w:rPr>
          <w:b/>
          <w:color w:val="1A1A2E"/>
          <w:sz w:val="26"/>
        </w:rPr>
        <w:t>IBTC  =  0.40 × D1_norm  +  0.40 × D2_norm  +  0.20 × D3_norm</w:t>
      </w:r>
    </w:p>
    <w:p>
      <w:pPr>
        <w:spacing w:after="80"/>
        <w:ind w:left="0"/>
      </w:pPr>
      <w:r>
        <w:rPr>
          <w:b w:val="0"/>
          <w:i w:val="0"/>
          <w:sz w:val="20"/>
        </w:rPr>
        <w:t>Justificación de las ponderaciones:</w:t>
      </w:r>
    </w:p>
    <w:p>
      <w:pPr>
        <w:pStyle w:val="ListBullet"/>
        <w:ind w:left="567"/>
      </w:pPr>
      <w:r>
        <w:rPr>
          <w:sz w:val="19"/>
        </w:rPr>
        <w:t>D1 y D2 reciben igual peso (40% cada una) por ser las dimensiones directas de la brecha de cuidado: demanda estructural y disponibilidad institucional de respuesta.</w:t>
      </w:r>
    </w:p>
    <w:p>
      <w:pPr>
        <w:pStyle w:val="ListBullet"/>
        <w:ind w:left="567"/>
      </w:pPr>
      <w:r>
        <w:rPr>
          <w:sz w:val="19"/>
        </w:rPr>
        <w:t>D3 recibe menor peso (20%) porque es un proxy estructural del contexto, no una medida directa de la brecha de cuidado.</w:t>
      </w:r>
    </w:p>
    <w:p>
      <w:pPr>
        <w:pStyle w:val="ListBullet"/>
        <w:ind w:left="567"/>
      </w:pPr>
      <w:r>
        <w:rPr>
          <w:sz w:val="19"/>
        </w:rPr>
        <w:t>La suma de ponderaciones es 1.0.</w:t>
      </w:r>
    </w:p>
    <w:p>
      <w:pPr>
        <w:spacing w:after="80"/>
        <w:ind w:left="0"/>
      </w:pPr>
      <w:r>
        <w:rPr>
          <w:b w:val="0"/>
          <w:i w:val="0"/>
          <w:sz w:val="20"/>
        </w:rPr>
        <w:t>Rango teórico: 0.0 (sin brecha) a 1.0 (máxima brecha acumulada).  Rango observado Ecuador 2022: 0.032 a 0.804.  Valor medio: 0.372.  Desviación estándar: 0.132.</w:t>
      </w:r>
    </w:p>
    <w:p>
      <w:pPr>
        <w:pStyle w:val="Heading1"/>
      </w:pPr>
      <w:r>
        <w:rPr>
          <w:color w:val="E5007D"/>
        </w:rPr>
        <w:t>5. Proceso de normalización</w:t>
      </w:r>
    </w:p>
    <w:p>
      <w:pPr>
        <w:spacing w:after="80"/>
        <w:ind w:left="0"/>
      </w:pPr>
      <w:r>
        <w:rPr>
          <w:b w:val="0"/>
          <w:i w:val="0"/>
          <w:sz w:val="20"/>
        </w:rPr>
        <w:t>Todas las variables y dimensiones del IBTC se normalizan mediante el método min-max, que transforma cualquier variable al rango [0,1] preservando la distribución relativa entre cantones:</w:t>
      </w:r>
    </w:p>
    <w:p>
      <w:pPr>
        <w:jc w:val="center"/>
      </w:pPr>
      <w:r>
        <w:rPr>
          <w:b/>
          <w:color w:val="1A1A2E"/>
          <w:sz w:val="24"/>
        </w:rPr>
        <w:t>X_norm  =  (X − X_min)  /  (X_max − X_min)</w:t>
      </w:r>
    </w:p>
    <w:p>
      <w:pPr>
        <w:spacing w:after="80"/>
        <w:ind w:left="0"/>
      </w:pPr>
      <w:r>
        <w:rPr>
          <w:b w:val="0"/>
          <w:i w:val="0"/>
          <w:sz w:val="20"/>
        </w:rPr>
        <w:t>Donde X_min y X_max son los valores mínimo y máximo observados en el conjunto de los 221 cantones. Un valor de 0 indica el cantón con menor valor de la variable; un valor de 1 indica el cantón con mayor valor. Si el rango es cero (todos los cantones tienen el mismo valor), la variable normalizada toma valor 0.0.</w:t>
      </w:r>
    </w:p>
    <w:p>
      <w:pPr>
        <w:pStyle w:val="Heading1"/>
      </w:pPr>
      <w:r>
        <w:rPr>
          <w:color w:val="E5007D"/>
        </w:rPr>
        <w:t>6. Tipología territorial</w:t>
      </w:r>
    </w:p>
    <w:p>
      <w:pPr>
        <w:spacing w:after="80"/>
        <w:ind w:left="0"/>
      </w:pPr>
      <w:r>
        <w:rPr>
          <w:b w:val="0"/>
          <w:i w:val="0"/>
          <w:sz w:val="20"/>
        </w:rPr>
        <w:t>Los 221 cantones se clasifican en cuatro categorías accionables mediante clasificación por cuartiles del IBTC:</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tc>
        <w:tc>
          <w:tcPr>
            <w:tcW w:type="dxa" w:w="1824"/>
          </w:tcPr>
          <w:p/>
        </w:tc>
        <w:tc>
          <w:tcPr>
            <w:tcW w:type="dxa" w:w="1824"/>
          </w:tcPr>
          <w:p/>
        </w:tc>
        <w:tc>
          <w:tcPr>
            <w:tcW w:type="dxa" w:w="1824"/>
          </w:tcPr>
          <w:p/>
        </w:tc>
        <w:tc>
          <w:tcPr>
            <w:tcW w:type="dxa" w:w="1824"/>
          </w:tcPr>
          <w:p/>
        </w:tc>
      </w:tr>
      <w:tr>
        <w:tc>
          <w:tcPr>
            <w:tcW w:type="dxa" w:w="1824"/>
            <w:vAlign w:val="center"/>
            <w:shd w:val="clear" w:color="auto" w:fill="1A1A2E"/>
          </w:tcPr>
          <w:p>
            <w:pPr>
              <w:jc w:val="left"/>
            </w:pPr>
            <w:r>
              <w:rPr>
                <w:b/>
                <w:color w:val="FFFFFF"/>
                <w:sz w:val="18"/>
              </w:rPr>
              <w:t>Categoría</w:t>
            </w:r>
          </w:p>
        </w:tc>
        <w:tc>
          <w:tcPr>
            <w:tcW w:type="dxa" w:w="1824"/>
            <w:vAlign w:val="center"/>
            <w:shd w:val="clear" w:color="auto" w:fill="1A1A2E"/>
          </w:tcPr>
          <w:p>
            <w:pPr>
              <w:jc w:val="left"/>
            </w:pPr>
            <w:r>
              <w:rPr>
                <w:b/>
                <w:color w:val="FFFFFF"/>
                <w:sz w:val="18"/>
              </w:rPr>
              <w:t>Cuartil</w:t>
            </w:r>
          </w:p>
        </w:tc>
        <w:tc>
          <w:tcPr>
            <w:tcW w:type="dxa" w:w="1824"/>
            <w:vAlign w:val="center"/>
            <w:shd w:val="clear" w:color="auto" w:fill="1A1A2E"/>
          </w:tcPr>
          <w:p>
            <w:pPr>
              <w:jc w:val="left"/>
            </w:pPr>
            <w:r>
              <w:rPr>
                <w:b/>
                <w:color w:val="FFFFFF"/>
                <w:sz w:val="18"/>
              </w:rPr>
              <w:t>Rango IBTC</w:t>
            </w:r>
          </w:p>
        </w:tc>
        <w:tc>
          <w:tcPr>
            <w:tcW w:type="dxa" w:w="1824"/>
            <w:vAlign w:val="center"/>
            <w:shd w:val="clear" w:color="auto" w:fill="1A1A2E"/>
          </w:tcPr>
          <w:p>
            <w:pPr>
              <w:jc w:val="left"/>
            </w:pPr>
            <w:r>
              <w:rPr>
                <w:b/>
                <w:color w:val="FFFFFF"/>
                <w:sz w:val="18"/>
              </w:rPr>
              <w:t>N° Cantones</w:t>
            </w:r>
          </w:p>
        </w:tc>
        <w:tc>
          <w:tcPr>
            <w:tcW w:type="dxa" w:w="1824"/>
            <w:vAlign w:val="center"/>
            <w:shd w:val="clear" w:color="auto" w:fill="1A1A2E"/>
          </w:tcPr>
          <w:p>
            <w:pPr>
              <w:jc w:val="left"/>
            </w:pPr>
            <w:r>
              <w:rPr>
                <w:b/>
                <w:color w:val="FFFFFF"/>
                <w:sz w:val="18"/>
              </w:rPr>
              <w:t>Implicación para política pública</w:t>
            </w:r>
          </w:p>
        </w:tc>
      </w:tr>
      <w:tr>
        <w:tc>
          <w:tcPr>
            <w:tcW w:type="dxa" w:w="1824"/>
            <w:vAlign w:val="center"/>
          </w:tcPr>
          <w:p>
            <w:r>
              <w:rPr>
                <w:b/>
                <w:sz w:val="18"/>
              </w:rPr>
              <w:t>Crítico</w:t>
            </w:r>
          </w:p>
        </w:tc>
        <w:tc>
          <w:tcPr>
            <w:tcW w:type="dxa" w:w="1824"/>
            <w:vAlign w:val="center"/>
          </w:tcPr>
          <w:p>
            <w:r>
              <w:rPr>
                <w:sz w:val="18"/>
              </w:rPr>
              <w:t>Q4 (&gt; p75)</w:t>
            </w:r>
          </w:p>
        </w:tc>
        <w:tc>
          <w:tcPr>
            <w:tcW w:type="dxa" w:w="1824"/>
            <w:vAlign w:val="center"/>
          </w:tcPr>
          <w:p>
            <w:r>
              <w:rPr>
                <w:sz w:val="18"/>
              </w:rPr>
              <w:t>0.455 – 0.804</w:t>
            </w:r>
          </w:p>
        </w:tc>
        <w:tc>
          <w:tcPr>
            <w:tcW w:type="dxa" w:w="1824"/>
            <w:vAlign w:val="center"/>
          </w:tcPr>
          <w:p>
            <w:r>
              <w:rPr>
                <w:sz w:val="18"/>
              </w:rPr>
              <w:t>55</w:t>
            </w:r>
          </w:p>
        </w:tc>
        <w:tc>
          <w:tcPr>
            <w:tcW w:type="dxa" w:w="1824"/>
            <w:vAlign w:val="center"/>
          </w:tcPr>
          <w:p>
            <w:r>
              <w:rPr>
                <w:sz w:val="18"/>
              </w:rPr>
              <w:t>Urgencia máxima. Expansión inmediata de CDI/CNH. Focalización de transferencias condicionadas. Articulación directa con PDOT cantonal.</w:t>
            </w:r>
          </w:p>
        </w:tc>
      </w:tr>
      <w:tr>
        <w:tc>
          <w:tcPr>
            <w:tcW w:type="dxa" w:w="1824"/>
            <w:vAlign w:val="center"/>
          </w:tcPr>
          <w:p>
            <w:r>
              <w:rPr>
                <w:b/>
                <w:sz w:val="18"/>
              </w:rPr>
              <w:t>Vulnerable</w:t>
            </w:r>
          </w:p>
        </w:tc>
        <w:tc>
          <w:tcPr>
            <w:tcW w:type="dxa" w:w="1824"/>
            <w:vAlign w:val="center"/>
          </w:tcPr>
          <w:p>
            <w:r>
              <w:rPr>
                <w:sz w:val="18"/>
              </w:rPr>
              <w:t>Q3 (p50–p75)</w:t>
            </w:r>
          </w:p>
        </w:tc>
        <w:tc>
          <w:tcPr>
            <w:tcW w:type="dxa" w:w="1824"/>
            <w:vAlign w:val="center"/>
          </w:tcPr>
          <w:p>
            <w:r>
              <w:rPr>
                <w:sz w:val="18"/>
              </w:rPr>
              <w:t>0.372 – 0.454</w:t>
            </w:r>
          </w:p>
        </w:tc>
        <w:tc>
          <w:tcPr>
            <w:tcW w:type="dxa" w:w="1824"/>
            <w:vAlign w:val="center"/>
          </w:tcPr>
          <w:p>
            <w:r>
              <w:rPr>
                <w:sz w:val="18"/>
              </w:rPr>
              <w:t>55</w:t>
            </w:r>
          </w:p>
        </w:tc>
        <w:tc>
          <w:tcPr>
            <w:tcW w:type="dxa" w:w="1824"/>
            <w:vAlign w:val="center"/>
          </w:tcPr>
          <w:p>
            <w:r>
              <w:rPr>
                <w:sz w:val="18"/>
              </w:rPr>
              <w:t>Alta prioridad. Ampliar cobertura existente. Fortalecer CNH en zonas rurales dispersas. Plan de expansión a 24 meses.</w:t>
            </w:r>
          </w:p>
        </w:tc>
      </w:tr>
      <w:tr>
        <w:tc>
          <w:tcPr>
            <w:tcW w:type="dxa" w:w="1824"/>
            <w:vAlign w:val="center"/>
          </w:tcPr>
          <w:p>
            <w:r>
              <w:rPr>
                <w:b/>
                <w:sz w:val="18"/>
              </w:rPr>
              <w:t>En Transición</w:t>
            </w:r>
          </w:p>
        </w:tc>
        <w:tc>
          <w:tcPr>
            <w:tcW w:type="dxa" w:w="1824"/>
            <w:vAlign w:val="center"/>
          </w:tcPr>
          <w:p>
            <w:r>
              <w:rPr>
                <w:sz w:val="18"/>
              </w:rPr>
              <w:t>Q2 (p25–p50)</w:t>
            </w:r>
          </w:p>
        </w:tc>
        <w:tc>
          <w:tcPr>
            <w:tcW w:type="dxa" w:w="1824"/>
            <w:vAlign w:val="center"/>
          </w:tcPr>
          <w:p>
            <w:r>
              <w:rPr>
                <w:sz w:val="18"/>
              </w:rPr>
              <w:t>0.282 – 0.372</w:t>
            </w:r>
          </w:p>
        </w:tc>
        <w:tc>
          <w:tcPr>
            <w:tcW w:type="dxa" w:w="1824"/>
            <w:vAlign w:val="center"/>
          </w:tcPr>
          <w:p>
            <w:r>
              <w:rPr>
                <w:sz w:val="18"/>
              </w:rPr>
              <w:t>55</w:t>
            </w:r>
          </w:p>
        </w:tc>
        <w:tc>
          <w:tcPr>
            <w:tcW w:type="dxa" w:w="1824"/>
            <w:vAlign w:val="center"/>
          </w:tcPr>
          <w:p>
            <w:r>
              <w:rPr>
                <w:sz w:val="18"/>
              </w:rPr>
              <w:t>Prioridad media. Consolidar servicios existentes. Monitoreo semestral de indicadores. Prevenir regresión.</w:t>
            </w:r>
          </w:p>
        </w:tc>
      </w:tr>
      <w:tr>
        <w:tc>
          <w:tcPr>
            <w:tcW w:type="dxa" w:w="1824"/>
            <w:vAlign w:val="center"/>
          </w:tcPr>
          <w:p>
            <w:r>
              <w:rPr>
                <w:b/>
                <w:sz w:val="18"/>
              </w:rPr>
              <w:t>Cobertura Relativa</w:t>
            </w:r>
          </w:p>
        </w:tc>
        <w:tc>
          <w:tcPr>
            <w:tcW w:type="dxa" w:w="1824"/>
            <w:vAlign w:val="center"/>
          </w:tcPr>
          <w:p>
            <w:r>
              <w:rPr>
                <w:sz w:val="18"/>
              </w:rPr>
              <w:t>Q1 (&lt; p25)</w:t>
            </w:r>
          </w:p>
        </w:tc>
        <w:tc>
          <w:tcPr>
            <w:tcW w:type="dxa" w:w="1824"/>
            <w:vAlign w:val="center"/>
          </w:tcPr>
          <w:p>
            <w:r>
              <w:rPr>
                <w:sz w:val="18"/>
              </w:rPr>
              <w:t>0.033 – 0.279</w:t>
            </w:r>
          </w:p>
        </w:tc>
        <w:tc>
          <w:tcPr>
            <w:tcW w:type="dxa" w:w="1824"/>
            <w:vAlign w:val="center"/>
          </w:tcPr>
          <w:p>
            <w:r>
              <w:rPr>
                <w:sz w:val="18"/>
              </w:rPr>
              <w:t>56</w:t>
            </w:r>
          </w:p>
        </w:tc>
        <w:tc>
          <w:tcPr>
            <w:tcW w:type="dxa" w:w="1824"/>
            <w:vAlign w:val="center"/>
          </w:tcPr>
          <w:p>
            <w:r>
              <w:rPr>
                <w:sz w:val="18"/>
              </w:rPr>
              <w:t>Mantenimiento. Vigilar posibles regresiones. Compartir buenas prácticas con cantones críticos.</w:t>
            </w:r>
          </w:p>
        </w:tc>
      </w:tr>
    </w:tbl>
    <w:p/>
    <w:p>
      <w:pPr>
        <w:pStyle w:val="Heading1"/>
      </w:pPr>
      <w:r>
        <w:rPr>
          <w:color w:val="E5007D"/>
        </w:rPr>
        <w:t>7. Proceso técnico de construcción</w:t>
      </w:r>
    </w:p>
    <w:p>
      <w:pPr>
        <w:spacing w:after="80"/>
        <w:ind w:left="0"/>
      </w:pPr>
      <w:r>
        <w:rPr>
          <w:b/>
          <w:i w:val="0"/>
          <w:color w:val="1A1A2E"/>
          <w:sz w:val="20"/>
        </w:rPr>
        <w:t>Descarga de datos</w:t>
      </w:r>
    </w:p>
    <w:p>
      <w:pPr>
        <w:spacing w:after="80"/>
        <w:ind w:left="283"/>
      </w:pPr>
      <w:r>
        <w:rPr>
          <w:b w:val="0"/>
          <w:i w:val="0"/>
          <w:sz w:val="19"/>
        </w:rPr>
        <w:t>Los microdatos del Censo 2022 a escala cantonal se descargaron desde censoecuador.gob.ec (archivos CPV_2022_Población_Canton.csv de 4.2 GB y CPV_2022_Hogar_Canton.csv de 638 MB, separador punto y coma). El shapefile cantonal CONALI 2022 se descargó desde franzpc.com/descarga-los-shp-de-la-division-politica-de-ecuador.</w:t>
      </w:r>
    </w:p>
    <w:p>
      <w:pPr>
        <w:spacing w:after="80"/>
        <w:ind w:left="0"/>
      </w:pPr>
      <w:r>
        <w:rPr>
          <w:b/>
          <w:i w:val="0"/>
          <w:color w:val="1A1A2E"/>
          <w:sz w:val="20"/>
        </w:rPr>
        <w:t>Exploración y validación de variables</w:t>
      </w:r>
    </w:p>
    <w:p>
      <w:pPr>
        <w:spacing w:after="80"/>
        <w:ind w:left="283"/>
      </w:pPr>
      <w:r>
        <w:rPr>
          <w:b w:val="0"/>
          <w:i w:val="0"/>
          <w:sz w:val="19"/>
        </w:rPr>
        <w:t>Se leyeron los primeros registros de cada archivo para identificar los nombres exactos de columna. Variables clave: CANTON (código cantonal 3-4 dígitos), P03 (edad en años), P01 (sexo: 1=hombre, 2=mujer), P02 (relación con jefe/a: 1=jefe/a), DFUNC (dificultades funcionales: 1=sí), NBI (1=con NBI, 2=sin NBI).</w:t>
      </w:r>
    </w:p>
    <w:p>
      <w:pPr>
        <w:spacing w:after="80"/>
        <w:ind w:left="0"/>
      </w:pPr>
      <w:r>
        <w:rPr>
          <w:b/>
          <w:i w:val="0"/>
          <w:color w:val="1A1A2E"/>
          <w:sz w:val="20"/>
        </w:rPr>
        <w:t>Cálculo de indicadores cantonales</w:t>
      </w:r>
    </w:p>
    <w:p>
      <w:pPr>
        <w:spacing w:after="80"/>
        <w:ind w:left="283"/>
      </w:pPr>
      <w:r>
        <w:rPr>
          <w:b w:val="0"/>
          <w:i w:val="0"/>
          <w:sz w:val="19"/>
        </w:rPr>
        <w:t>Se procesaron los 16.938.986 registros de personas del Censo 2022 con pandas (groupby por CANTON). Se calcularon conteos y porcentajes de cada componente de D1. Se calculó la población 0-3 años para D2. Se procesaron los 5.193.548 registros de hogares para verificar NBI (D3).</w:t>
      </w:r>
    </w:p>
    <w:p>
      <w:pPr>
        <w:spacing w:after="80"/>
        <w:ind w:left="0"/>
      </w:pPr>
      <w:r>
        <w:rPr>
          <w:b/>
          <w:i w:val="0"/>
          <w:color w:val="1A1A2E"/>
          <w:sz w:val="20"/>
        </w:rPr>
        <w:t>Normalización y cálculo del IBTC</w:t>
      </w:r>
    </w:p>
    <w:p>
      <w:pPr>
        <w:spacing w:after="80"/>
        <w:ind w:left="283"/>
      </w:pPr>
      <w:r>
        <w:rPr>
          <w:b w:val="0"/>
          <w:i w:val="0"/>
          <w:sz w:val="19"/>
        </w:rPr>
        <w:t>Se aplicó normalización min-max a cada componente y dimensión. Se calculó el IBTC ponderado. Se aplicó clasificación por cuartiles para la tipología. Los 221 cantones quedaron clasificados: 55 Crítico, 55 Vulnerable, 55 En Transición, 56 Cobertura Relativa.</w:t>
      </w:r>
    </w:p>
    <w:p>
      <w:pPr>
        <w:spacing w:after="80"/>
        <w:ind w:left="0"/>
      </w:pPr>
      <w:r>
        <w:rPr>
          <w:b/>
          <w:i w:val="0"/>
          <w:color w:val="1A1A2E"/>
          <w:sz w:val="20"/>
        </w:rPr>
        <w:t>Cruce cartográfico</w:t>
      </w:r>
    </w:p>
    <w:p>
      <w:pPr>
        <w:spacing w:after="80"/>
        <w:ind w:left="283"/>
      </w:pPr>
      <w:r>
        <w:rPr>
          <w:b w:val="0"/>
          <w:i w:val="0"/>
          <w:sz w:val="19"/>
        </w:rPr>
        <w:t>El dataset IBTC (código DPA INEC de 3-4 dígitos) se cruzó con el shapefile CONALI 2022 (código CODCAN de 3 dígitos) mediante una tabla de equivalencia construida por orden alfabético dentro de cada provincia. 219 de 221 cantones se cruzaron automáticamente. Los 2 cantones de Santo Domingo de los Tsáchilas (DPA 2301 y 2302) se resolvieron con asignación manual.</w:t>
      </w:r>
    </w:p>
    <w:p>
      <w:pPr>
        <w:spacing w:after="80"/>
        <w:ind w:left="0"/>
      </w:pPr>
      <w:r>
        <w:rPr>
          <w:b/>
          <w:i w:val="0"/>
          <w:color w:val="1A1A2E"/>
          <w:sz w:val="20"/>
        </w:rPr>
        <w:t>Generación cartográfica</w:t>
      </w:r>
    </w:p>
    <w:p>
      <w:pPr>
        <w:spacing w:after="80"/>
        <w:ind w:left="283"/>
      </w:pPr>
      <w:r>
        <w:rPr>
          <w:b w:val="0"/>
          <w:i w:val="0"/>
          <w:sz w:val="19"/>
        </w:rPr>
        <w:t>Se generaron 5 mapas estáticos (PNG 300 dpi) y 1 mapa interactivo (HTML/folium) con matplotlib y geopandas. Composición: cabecera con título, mapa continental con recuadro Galápagos, panel lateral con leyenda y bloque metodológico, pie con descripción y créditos ONU Mujeres.</w:t>
      </w:r>
    </w:p>
    <w:p>
      <w:pPr>
        <w:spacing w:after="80"/>
        <w:ind w:left="0"/>
      </w:pPr>
      <w:r>
        <w:rPr>
          <w:b/>
          <w:i w:val="0"/>
          <w:color w:val="1A1A2E"/>
          <w:sz w:val="20"/>
        </w:rPr>
        <w:t>Herramientas</w:t>
      </w:r>
    </w:p>
    <w:p>
      <w:pPr>
        <w:spacing w:after="80"/>
        <w:ind w:left="283"/>
      </w:pPr>
      <w:r>
        <w:rPr>
          <w:b w:val="0"/>
          <w:i w:val="0"/>
          <w:sz w:val="19"/>
        </w:rPr>
        <w:t>Python 3.12 con librerías: pandas, geopandas, matplotlib, folium, openpyxl, python-docx. Todo el código disponible en repositorio GitHub del proyecto. Procesamiento en Windows 11 con acceso a Google Drive compartido.</w:t>
      </w:r>
    </w:p>
    <w:p>
      <w:pPr>
        <w:pStyle w:val="Heading1"/>
      </w:pPr>
      <w:r>
        <w:rPr>
          <w:color w:val="E5007D"/>
        </w:rPr>
        <w:t>8. Limitaciones y consideraciones</w:t>
      </w:r>
    </w:p>
    <w:p>
      <w:pPr>
        <w:spacing w:after="80"/>
        <w:ind w:left="0"/>
      </w:pPr>
      <w:r>
        <w:rPr>
          <w:b/>
          <w:i w:val="0"/>
          <w:color w:val="B22222"/>
          <w:sz w:val="20"/>
        </w:rPr>
        <w:t>L1 — D2 construido con proxy censal</w:t>
      </w:r>
    </w:p>
    <w:p>
      <w:pPr>
        <w:spacing w:after="80"/>
        <w:ind w:left="283"/>
      </w:pPr>
      <w:r>
        <w:rPr>
          <w:b w:val="0"/>
          <w:i w:val="0"/>
          <w:sz w:val="19"/>
        </w:rPr>
        <w:t>Los datos del MIES (SIIMIES Q4 2024) no estuvieron disponibles durante el procesamiento por falla del portal datosabiertos.gob.ec. Se usó el ratio de población 0-3 años como proxy de presión de demanda infantil. Este proxy captura la magnitud de la demanda potencial pero no mide la cobertura real de servicios CDI/CNH. Se recomienda actualizar D2 cuando los datos MIES estén disponibles.</w:t>
      </w:r>
    </w:p>
    <w:p>
      <w:pPr>
        <w:spacing w:after="80"/>
        <w:ind w:left="0"/>
      </w:pPr>
      <w:r>
        <w:rPr>
          <w:b/>
          <w:i w:val="0"/>
          <w:color w:val="B22222"/>
          <w:sz w:val="20"/>
        </w:rPr>
        <w:t>L2 — D3 construido con proxy NBI</w:t>
      </w:r>
    </w:p>
    <w:p>
      <w:pPr>
        <w:spacing w:after="80"/>
        <w:ind w:left="283"/>
      </w:pPr>
      <w:r>
        <w:rPr>
          <w:b w:val="0"/>
          <w:i w:val="0"/>
          <w:sz w:val="19"/>
        </w:rPr>
        <w:t>La CNRH 2023 no tiene desagregación cantonal. Se usó el % NBI del Censo 2022 como proxy de vulnerabilidad estructural. El NBI correlaciona positivamente con la carga TNR pero no la mide directamente. La brecha de horas TNR mujer-hombre a escala nacional (3.04x) se utiliza en el informe como contextualización pero no entra en el cálculo cantonal del IBTC.</w:t>
      </w:r>
    </w:p>
    <w:p>
      <w:pPr>
        <w:spacing w:after="80"/>
        <w:ind w:left="0"/>
      </w:pPr>
      <w:r>
        <w:rPr>
          <w:b/>
          <w:i w:val="0"/>
          <w:color w:val="B22222"/>
          <w:sz w:val="20"/>
        </w:rPr>
        <w:t>L3 — Cruce cartográfico Santo Domingo</w:t>
      </w:r>
    </w:p>
    <w:p>
      <w:pPr>
        <w:spacing w:after="80"/>
        <w:ind w:left="283"/>
      </w:pPr>
      <w:r>
        <w:rPr>
          <w:b w:val="0"/>
          <w:i w:val="0"/>
          <w:sz w:val="19"/>
        </w:rPr>
        <w:t>Los 2 cantones de Santo Domingo de los Tsáchilas (DPA 2301 = Santo Domingo, DPA 2302 = La Concordia) no encontraron correspondencia automática con el shapefile CONALI (CODCAN 085 y 982) por diferencia en sistemas de codificación. Se resolvieron mediante asignación manual por orden: DPA 2301 → CODCAN 085, DPA 2302 → CODCAN 982. Verificar en actualizaciones futuras.</w:t>
      </w:r>
    </w:p>
    <w:p>
      <w:pPr>
        <w:spacing w:after="80"/>
        <w:ind w:left="0"/>
      </w:pPr>
      <w:r>
        <w:rPr>
          <w:b/>
          <w:i w:val="0"/>
          <w:color w:val="B22222"/>
          <w:sz w:val="20"/>
        </w:rPr>
        <w:t>L4 — Temporalidad de los datos</w:t>
      </w:r>
    </w:p>
    <w:p>
      <w:pPr>
        <w:spacing w:after="80"/>
        <w:ind w:left="283"/>
      </w:pPr>
      <w:r>
        <w:rPr>
          <w:b w:val="0"/>
          <w:i w:val="0"/>
          <w:sz w:val="19"/>
        </w:rPr>
        <w:t>Los datos del Censo son de noviembre 2022. Las condiciones territoriales pueden haber variado. El IBTC refleja la situación al momento del último censo. Se recomienda actualización cuando se publiquen los próximos microdatos censales.</w:t>
      </w:r>
    </w:p>
    <w:p>
      <w:pPr>
        <w:spacing w:after="80"/>
        <w:ind w:left="0"/>
      </w:pPr>
      <w:r>
        <w:rPr>
          <w:b/>
          <w:i w:val="0"/>
          <w:color w:val="B22222"/>
          <w:sz w:val="20"/>
        </w:rPr>
        <w:t>L5 — Escala cantonal</w:t>
      </w:r>
    </w:p>
    <w:p>
      <w:pPr>
        <w:spacing w:after="80"/>
        <w:ind w:left="283"/>
      </w:pPr>
      <w:r>
        <w:rPr>
          <w:b w:val="0"/>
          <w:i w:val="0"/>
          <w:sz w:val="19"/>
        </w:rPr>
        <w:t>El análisis está a escala cantonal (221 unidades). Las brechas intracantonales (entre parroquias urbanas y rurales) no son visibles en este análisis. Una extensión a escala parroquial sería metodológicamente posible con los mismos datos y aumentaría la resolución para la toma de decisiones local.</w:t>
      </w:r>
    </w:p>
    <w:p>
      <w:pPr>
        <w:pStyle w:val="Heading1"/>
      </w:pPr>
      <w:r>
        <w:rPr>
          <w:color w:val="E5007D"/>
        </w:rPr>
        <w:t>9. Condiciones de replicabilidad</w:t>
      </w:r>
    </w:p>
    <w:p>
      <w:pPr>
        <w:spacing w:after="80"/>
        <w:ind w:left="0"/>
      </w:pPr>
      <w:r>
        <w:rPr>
          <w:b w:val="0"/>
          <w:i w:val="0"/>
          <w:sz w:val="20"/>
        </w:rPr>
        <w:t>El modelo es replicable en cualquier país de América Latina con datos equivalentes. Las condiciones mínimas son:</w:t>
      </w:r>
    </w:p>
    <w:p>
      <w:pPr>
        <w:spacing w:after="80"/>
        <w:ind w:left="0"/>
      </w:pPr>
      <w:r>
        <w:rPr>
          <w:b/>
          <w:i w:val="0"/>
          <w:color w:val="1A1A2E"/>
          <w:sz w:val="20"/>
        </w:rPr>
        <w:t>Censo reciente con desagregación municipal</w:t>
      </w:r>
    </w:p>
    <w:p>
      <w:pPr>
        <w:spacing w:after="80"/>
        <w:ind w:left="283"/>
      </w:pPr>
      <w:r>
        <w:rPr>
          <w:b w:val="0"/>
          <w:i w:val="0"/>
          <w:sz w:val="19"/>
        </w:rPr>
        <w:t>Variables de edad (grupos quinquenales), sexo, jefatura del hogar y discapacidad a nivel municipal o cantonal. Alternativa: encuesta multipropósito con representatividad subnacional.</w:t>
      </w:r>
    </w:p>
    <w:p>
      <w:pPr>
        <w:spacing w:after="80"/>
        <w:ind w:left="0"/>
      </w:pPr>
      <w:r>
        <w:rPr>
          <w:b/>
          <w:i w:val="0"/>
          <w:color w:val="1A1A2E"/>
          <w:sz w:val="20"/>
        </w:rPr>
        <w:t>Registros de servicios de cuidado infantil</w:t>
      </w:r>
    </w:p>
    <w:p>
      <w:pPr>
        <w:spacing w:after="80"/>
        <w:ind w:left="283"/>
      </w:pPr>
      <w:r>
        <w:rPr>
          <w:b w:val="0"/>
          <w:i w:val="0"/>
          <w:sz w:val="19"/>
        </w:rPr>
        <w:t>Cobertura de guarderías, CDI equivalentes u otros servicios de primera infancia por unidad territorial. Si no están disponibles: usar ratio de primera infancia censal como proxy (tal como se hizo en Ecuador).</w:t>
      </w:r>
    </w:p>
    <w:p>
      <w:pPr>
        <w:spacing w:after="80"/>
        <w:ind w:left="0"/>
      </w:pPr>
      <w:r>
        <w:rPr>
          <w:b/>
          <w:i w:val="0"/>
          <w:color w:val="1A1A2E"/>
          <w:sz w:val="20"/>
        </w:rPr>
        <w:t>Encuesta de uso del tiempo</w:t>
      </w:r>
    </w:p>
    <w:p>
      <w:pPr>
        <w:spacing w:after="80"/>
        <w:ind w:left="283"/>
      </w:pPr>
      <w:r>
        <w:rPr>
          <w:b w:val="0"/>
          <w:i w:val="0"/>
          <w:sz w:val="19"/>
        </w:rPr>
        <w:t>Con representatividad al menos provincial para calcular brecha de horas TNR mujer-hombre. Si no está disponible: usar NBI u otro proxy de vulnerabilidad estructural (tal como se hizo en Ecuador).</w:t>
      </w:r>
    </w:p>
    <w:p>
      <w:pPr>
        <w:spacing w:after="80"/>
        <w:ind w:left="0"/>
      </w:pPr>
      <w:r>
        <w:rPr>
          <w:b/>
          <w:i w:val="0"/>
          <w:color w:val="1A1A2E"/>
          <w:sz w:val="20"/>
        </w:rPr>
        <w:t>Cartografía de límites administrativos</w:t>
      </w:r>
    </w:p>
    <w:p>
      <w:pPr>
        <w:spacing w:after="80"/>
        <w:ind w:left="283"/>
      </w:pPr>
      <w:r>
        <w:rPr>
          <w:b w:val="0"/>
          <w:i w:val="0"/>
          <w:sz w:val="19"/>
        </w:rPr>
        <w:t>Shapefile del nivel cantonal o municipal con campo de código territorial compatible con los datos estadísticos. Proyección WGS84 (EPSG:4326) para mapas web.</w:t>
      </w:r>
    </w:p>
    <w:p>
      <w:pPr>
        <w:spacing w:after="80"/>
        <w:ind w:left="0"/>
      </w:pPr>
      <w:r>
        <w:rPr>
          <w:b/>
          <w:i w:val="0"/>
          <w:color w:val="1A1A2E"/>
          <w:sz w:val="20"/>
        </w:rPr>
        <w:t>Repositorio y código</w:t>
      </w:r>
    </w:p>
    <w:p>
      <w:pPr>
        <w:spacing w:after="80"/>
        <w:ind w:left="283"/>
      </w:pPr>
      <w:r>
        <w:rPr>
          <w:b w:val="0"/>
          <w:i w:val="0"/>
          <w:sz w:val="19"/>
        </w:rPr>
        <w:t>Todo el código Python está disponible en el repositorio GitHub del proyecto. El pipeline es parametrizable: ajustar config.py con los nombres de columna del país destino y ejecutar. No requiere reescribir la lógica central.</w:t>
      </w:r>
    </w:p>
    <w:p>
      <w:pPr>
        <w:pStyle w:val="Heading1"/>
      </w:pPr>
      <w:r>
        <w:rPr>
          <w:color w:val="E5007D"/>
        </w:rPr>
        <w:t>10. Usuarios y uso previsto</w:t>
      </w:r>
    </w:p>
    <w:p>
      <w:pPr>
        <w:spacing w:after="80"/>
        <w:ind w:left="0"/>
      </w:pPr>
      <w:r>
        <w:rPr>
          <w:b w:val="0"/>
          <w:i w:val="0"/>
          <w:sz w:val="20"/>
        </w:rPr>
        <w:t>El IBTC y el Atlas Territorial de Brechas de Cuidado están diseñados para ser utilizados por:</w:t>
      </w:r>
    </w:p>
    <w:p>
      <w:pPr>
        <w:spacing w:after="80"/>
        <w:ind w:left="0"/>
      </w:pPr>
      <w:r>
        <w:rPr>
          <w:b/>
          <w:i w:val="0"/>
          <w:color w:val="1A1A2E"/>
          <w:sz w:val="20"/>
        </w:rPr>
        <w:t>Ministerio de Desarrollo Humano (ex MIES)</w:t>
      </w:r>
    </w:p>
    <w:p>
      <w:pPr>
        <w:spacing w:after="80"/>
        <w:ind w:left="283"/>
      </w:pPr>
      <w:r>
        <w:rPr>
          <w:b w:val="0"/>
          <w:i w:val="0"/>
          <w:sz w:val="19"/>
        </w:rPr>
        <w:t>Priorizar la expansión territorial de servicios CDI y CNH hacia los cantones clasificados como Crítico y Vulnerable. Integrar la tipología en los criterios de asignación presupuestaria y planificación de nuevas unidades.</w:t>
      </w:r>
    </w:p>
    <w:p>
      <w:pPr>
        <w:spacing w:after="80"/>
        <w:ind w:left="0"/>
      </w:pPr>
      <w:r>
        <w:rPr>
          <w:b/>
          <w:i w:val="0"/>
          <w:color w:val="1A1A2E"/>
          <w:sz w:val="20"/>
        </w:rPr>
        <w:t>Gobiernos Autónomos Descentralizados (GAD cantonales)</w:t>
      </w:r>
    </w:p>
    <w:p>
      <w:pPr>
        <w:spacing w:after="80"/>
        <w:ind w:left="283"/>
      </w:pPr>
      <w:r>
        <w:rPr>
          <w:b w:val="0"/>
          <w:i w:val="0"/>
          <w:sz w:val="19"/>
        </w:rPr>
        <w:t>Incorporar el IBTC en los Planes de Desarrollo y Ordenamiento Territorial (PDOT). Identificar qué dimensión (D1, D2 o D3) explica la brecha en su territorio y orientar políticas locales de cuidado.</w:t>
      </w:r>
    </w:p>
    <w:p>
      <w:pPr>
        <w:spacing w:after="80"/>
        <w:ind w:left="0"/>
      </w:pPr>
      <w:r>
        <w:rPr>
          <w:b/>
          <w:i w:val="0"/>
          <w:color w:val="1A1A2E"/>
          <w:sz w:val="20"/>
        </w:rPr>
        <w:t>Sociedad civil y organizaciones de mujeres</w:t>
      </w:r>
    </w:p>
    <w:p>
      <w:pPr>
        <w:spacing w:after="80"/>
        <w:ind w:left="283"/>
      </w:pPr>
      <w:r>
        <w:rPr>
          <w:b w:val="0"/>
          <w:i w:val="0"/>
          <w:sz w:val="19"/>
        </w:rPr>
        <w:t>Contar con evidencia territorial para la incidencia política y la exigibilidad del derecho al cuidado reconocido por la CIDH en agosto 2025.</w:t>
      </w:r>
    </w:p>
    <w:p>
      <w:pPr>
        <w:spacing w:after="80"/>
        <w:ind w:left="0"/>
      </w:pPr>
      <w:r>
        <w:rPr>
          <w:b/>
          <w:i w:val="0"/>
          <w:color w:val="1A1A2E"/>
          <w:sz w:val="20"/>
        </w:rPr>
        <w:t>Academia e investigación</w:t>
      </w:r>
    </w:p>
    <w:p>
      <w:pPr>
        <w:spacing w:after="80"/>
        <w:ind w:left="283"/>
      </w:pPr>
      <w:r>
        <w:rPr>
          <w:b w:val="0"/>
          <w:i w:val="0"/>
          <w:sz w:val="19"/>
        </w:rPr>
        <w:t>Explorar los patrones territoriales de la economía del cuidado en Ecuador. El dataset está disponible en formato abierto con documentación completa.</w:t>
      </w:r>
    </w:p>
    <w:p>
      <w:pPr>
        <w:spacing w:after="80"/>
        <w:ind w:left="0"/>
      </w:pPr>
      <w:r>
        <w:rPr>
          <w:b/>
          <w:i w:val="0"/>
          <w:color w:val="1A1A2E"/>
          <w:sz w:val="20"/>
        </w:rPr>
        <w:t>Organismos internacionales</w:t>
      </w:r>
    </w:p>
    <w:p>
      <w:pPr>
        <w:spacing w:after="80"/>
        <w:ind w:left="283"/>
      </w:pPr>
      <w:r>
        <w:rPr>
          <w:b w:val="0"/>
          <w:i w:val="0"/>
          <w:sz w:val="19"/>
        </w:rPr>
        <w:t>ONU Mujeres, CEPAL, PNUD y otros organismos pueden usar la metodología como referencia para análisis regionales comparativos en América Latina.</w:t>
      </w:r>
    </w:p>
    <w:p/>
    <w:p>
      <w:pPr>
        <w:jc w:val="center"/>
      </w:pPr>
      <w:r>
        <w:rPr>
          <w:color w:val="E5007D"/>
        </w:rPr>
        <w:t>────────────────────────────────────────────────────────────</w:t>
      </w:r>
    </w:p>
    <w:p>
      <w:pPr>
        <w:jc w:val="center"/>
      </w:pPr>
      <w:r>
        <w:rPr>
          <w:color w:val="4A4A6A"/>
          <w:sz w:val="16"/>
        </w:rPr>
        <w:t>DAT4CCIÓN 2026 — Datatón Regional para la Igualdad  |  ONU Mujeres  |  Atlas Territorial de Brechas de Cuidado  |  Ecuador · Abril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