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312F" w:rsidRPr="005633E3" w:rsidRDefault="00BF312F" w:rsidP="00BF312F">
      <w:pPr>
        <w:pStyle w:val="Default"/>
        <w:rPr>
          <w:rFonts w:ascii="標楷體" w:eastAsia="標楷體" w:hAnsi="標楷體"/>
        </w:rPr>
      </w:pPr>
    </w:p>
    <w:p w:rsidR="00BF312F" w:rsidRPr="005633E3" w:rsidRDefault="00BF312F" w:rsidP="00BF312F">
      <w:pPr>
        <w:pStyle w:val="Default"/>
        <w:jc w:val="center"/>
        <w:rPr>
          <w:rFonts w:ascii="標楷體" w:eastAsia="標楷體" w:hAnsi="標楷體"/>
          <w:b/>
          <w:color w:val="1F1F1F"/>
          <w:sz w:val="28"/>
          <w:szCs w:val="28"/>
        </w:rPr>
      </w:pPr>
      <w:r w:rsidRPr="005633E3">
        <w:rPr>
          <w:rFonts w:ascii="標楷體" w:eastAsia="標楷體" w:hAnsi="標楷體" w:hint="eastAsia"/>
          <w:b/>
          <w:color w:val="1F1F1F"/>
          <w:sz w:val="28"/>
          <w:szCs w:val="28"/>
        </w:rPr>
        <w:t>第六屆台灣尤努斯創新獎商業計畫書</w:t>
      </w:r>
    </w:p>
    <w:p w:rsidR="00BF312F" w:rsidRPr="005633E3" w:rsidRDefault="00BF312F" w:rsidP="00BF312F">
      <w:pPr>
        <w:pStyle w:val="Default"/>
        <w:jc w:val="center"/>
        <w:rPr>
          <w:rFonts w:ascii="標楷體" w:eastAsia="標楷體" w:hAnsi="標楷體"/>
          <w:b/>
          <w:color w:val="1F1F1F"/>
          <w:sz w:val="28"/>
          <w:szCs w:val="28"/>
        </w:rPr>
      </w:pP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「翻轉記憶，平衡身心</w:t>
      </w:r>
      <w:r w:rsidRPr="005633E3">
        <w:rPr>
          <w:rFonts w:ascii="標楷體" w:eastAsia="標楷體" w:hAnsi="標楷體" w:cs="Arial"/>
          <w:color w:val="1F1F1F"/>
        </w:rPr>
        <w:t>——</w:t>
      </w:r>
      <w:r w:rsidRPr="005633E3">
        <w:rPr>
          <w:rFonts w:ascii="標楷體" w:eastAsia="標楷體" w:hAnsi="標楷體" w:hint="eastAsia"/>
          <w:color w:val="1F1F1F"/>
        </w:rPr>
        <w:t>讓銀髮生活在歡笑中優雅延緩老化。」</w:t>
      </w: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提案名稱：</w:t>
      </w: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銀髮族腦力疊疊樂</w:t>
      </w:r>
      <w:r w:rsidRPr="005633E3">
        <w:rPr>
          <w:rFonts w:ascii="標楷體" w:eastAsia="標楷體" w:hAnsi="標楷體" w:cs="Arial"/>
          <w:color w:val="1F1F1F"/>
        </w:rPr>
        <w:t>——</w:t>
      </w:r>
      <w:r w:rsidRPr="005633E3">
        <w:rPr>
          <w:rFonts w:ascii="標楷體" w:eastAsia="標楷體" w:hAnsi="標楷體" w:hint="eastAsia"/>
          <w:color w:val="1F1F1F"/>
        </w:rPr>
        <w:t>融合記憶訓練與感官平衡的長者健康促進桌遊</w:t>
      </w: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團隊名稱：記憶天秤工作室</w:t>
      </w: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團隊成員：東</w:t>
      </w:r>
      <w:r w:rsidRPr="005633E3">
        <w:rPr>
          <w:rFonts w:ascii="標楷體" w:eastAsia="標楷體" w:hAnsi="標楷體" w:cs="微軟正黑體" w:hint="eastAsia"/>
          <w:color w:val="1F1F1F"/>
        </w:rPr>
        <w:t>吳</w:t>
      </w:r>
      <w:r w:rsidRPr="005633E3">
        <w:rPr>
          <w:rFonts w:ascii="標楷體" w:eastAsia="標楷體" w:hAnsi="標楷體" w:hint="eastAsia"/>
          <w:color w:val="1F1F1F"/>
        </w:rPr>
        <w:t>大學資料科學系　周子謙</w:t>
      </w: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東</w:t>
      </w:r>
      <w:r w:rsidRPr="005633E3">
        <w:rPr>
          <w:rFonts w:ascii="標楷體" w:eastAsia="標楷體" w:hAnsi="標楷體" w:cs="微軟正黑體" w:hint="eastAsia"/>
          <w:color w:val="1F1F1F"/>
        </w:rPr>
        <w:t>吳</w:t>
      </w:r>
      <w:r w:rsidRPr="005633E3">
        <w:rPr>
          <w:rFonts w:ascii="標楷體" w:eastAsia="標楷體" w:hAnsi="標楷體" w:hint="eastAsia"/>
          <w:color w:val="1F1F1F"/>
        </w:rPr>
        <w:t>大學資料科學系　王博宇</w:t>
      </w:r>
    </w:p>
    <w:p w:rsidR="00BF312F" w:rsidRPr="005633E3" w:rsidRDefault="00BF312F" w:rsidP="00BF312F">
      <w:pPr>
        <w:pStyle w:val="Default"/>
        <w:jc w:val="center"/>
        <w:rPr>
          <w:rFonts w:ascii="標楷體" w:eastAsia="標楷體" w:hAnsi="標楷體"/>
          <w:color w:val="1F1F1F"/>
        </w:rPr>
      </w:pPr>
      <w:r w:rsidRPr="005633E3">
        <w:rPr>
          <w:rFonts w:ascii="標楷體" w:eastAsia="標楷體" w:hAnsi="標楷體" w:hint="eastAsia"/>
          <w:color w:val="1F1F1F"/>
        </w:rPr>
        <w:t>逢甲大學資訊工程學系　林心妍</w:t>
      </w: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BF312F" w:rsidRPr="005633E3" w:rsidRDefault="00BF312F" w:rsidP="00BF312F">
      <w:pPr>
        <w:pStyle w:val="Default"/>
        <w:jc w:val="center"/>
        <w:rPr>
          <w:rFonts w:ascii="標楷體" w:eastAsia="標楷體" w:hAnsi="標楷體"/>
          <w:color w:val="1F1F1F"/>
        </w:rPr>
      </w:pPr>
    </w:p>
    <w:p w:rsidR="005762BC" w:rsidRPr="005633E3" w:rsidRDefault="00BF312F" w:rsidP="00BF312F">
      <w:pPr>
        <w:jc w:val="center"/>
        <w:rPr>
          <w:rFonts w:ascii="標楷體" w:eastAsia="標楷體" w:hAnsi="標楷體"/>
          <w:szCs w:val="24"/>
        </w:rPr>
      </w:pPr>
      <w:r w:rsidRPr="005633E3">
        <w:rPr>
          <w:rFonts w:ascii="標楷體" w:eastAsia="標楷體" w:hAnsi="標楷體" w:hint="eastAsia"/>
          <w:color w:val="1F1F1F"/>
          <w:szCs w:val="24"/>
        </w:rPr>
        <w:t>報名組別：學生組</w:t>
      </w:r>
    </w:p>
    <w:p w:rsidR="00B96E4E" w:rsidRPr="005633E3" w:rsidRDefault="007C18F2">
      <w:pPr>
        <w:rPr>
          <w:rFonts w:ascii="標楷體" w:eastAsia="標楷體" w:hAnsi="標楷體"/>
        </w:rPr>
      </w:pPr>
      <w:r w:rsidRPr="005633E3">
        <w:rPr>
          <w:rFonts w:ascii="標楷體" w:eastAsia="標楷體" w:hAnsi="標楷體"/>
        </w:rPr>
        <w:br w:type="page"/>
      </w: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lastRenderedPageBreak/>
        <w:t>壹、欲解決的社會問題</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一、高齡化帶來的認知退化危機與現有困境</w:t>
      </w:r>
    </w:p>
    <w:p w:rsidR="00B96E4E" w:rsidRPr="005633E3" w:rsidRDefault="007C18F2" w:rsidP="008A5E38">
      <w:pPr>
        <w:pStyle w:val="Default"/>
        <w:snapToGrid w:val="0"/>
        <w:spacing w:line="276" w:lineRule="auto"/>
        <w:ind w:leftChars="200" w:left="480"/>
        <w:rPr>
          <w:rFonts w:ascii="標楷體" w:eastAsia="標楷體" w:hAnsi="標楷體" w:cs="Arial"/>
          <w:color w:val="1F1F1F"/>
        </w:rPr>
      </w:pPr>
      <w:r w:rsidRPr="005633E3">
        <w:rPr>
          <w:rFonts w:ascii="標楷體" w:eastAsia="標楷體" w:hAnsi="標楷體" w:hint="eastAsia"/>
          <w:color w:val="1F1F1F"/>
        </w:rPr>
        <w:t xml:space="preserve">　　</w:t>
      </w:r>
      <w:r w:rsidRPr="005633E3">
        <w:rPr>
          <w:rFonts w:ascii="標楷體" w:eastAsia="標楷體" w:hAnsi="標楷體" w:cs="Arial"/>
          <w:color w:val="1F1F1F"/>
        </w:rPr>
        <w:t>台灣正加速邁入超高齡社會，長者的認知與生理機能退化，已成為無可迴避的社會挑戰。根據</w:t>
      </w:r>
      <w:proofErr w:type="gramStart"/>
      <w:r w:rsidRPr="005633E3">
        <w:rPr>
          <w:rFonts w:ascii="標楷體" w:eastAsia="標楷體" w:hAnsi="標楷體" w:cs="Arial"/>
          <w:color w:val="1F1F1F"/>
        </w:rPr>
        <w:t>衛福部</w:t>
      </w:r>
      <w:proofErr w:type="gramEnd"/>
      <w:r w:rsidRPr="005633E3">
        <w:rPr>
          <w:rFonts w:ascii="標楷體" w:eastAsia="標楷體" w:hAnsi="標楷體" w:cs="Arial"/>
          <w:color w:val="1F1F1F"/>
        </w:rPr>
        <w:t>最新的全國社區失智症流行病學調查，</w:t>
      </w:r>
      <w:proofErr w:type="gramStart"/>
      <w:r w:rsidRPr="005633E3">
        <w:rPr>
          <w:rFonts w:ascii="標楷體" w:eastAsia="標楷體" w:hAnsi="標楷體" w:cs="Arial"/>
          <w:color w:val="1F1F1F"/>
        </w:rPr>
        <w:t>全台失</w:t>
      </w:r>
      <w:proofErr w:type="gramEnd"/>
      <w:r w:rsidRPr="005633E3">
        <w:rPr>
          <w:rFonts w:ascii="標楷體" w:eastAsia="標楷體" w:hAnsi="標楷體" w:cs="Arial"/>
          <w:color w:val="1F1F1F"/>
        </w:rPr>
        <w:t>智人口已正式突破 38 萬人（衛生福利部 2024），未來幾年內更預估將逼近 50 萬人大關（國家發展委員會 2018）。</w:t>
      </w:r>
    </w:p>
    <w:p w:rsidR="00B96E4E" w:rsidRPr="005633E3" w:rsidRDefault="007C18F2" w:rsidP="008A5E38">
      <w:pPr>
        <w:pStyle w:val="Default"/>
        <w:snapToGrid w:val="0"/>
        <w:spacing w:line="276" w:lineRule="auto"/>
        <w:ind w:leftChars="200" w:left="480"/>
        <w:rPr>
          <w:rFonts w:ascii="標楷體" w:eastAsia="標楷體" w:hAnsi="標楷體" w:cs="Arial"/>
          <w:color w:val="1F1F1F"/>
        </w:rPr>
      </w:pPr>
      <w:r w:rsidRPr="005633E3">
        <w:rPr>
          <w:rFonts w:ascii="標楷體" w:eastAsia="標楷體" w:hAnsi="標楷體" w:cs="Arial"/>
          <w:color w:val="1F1F1F"/>
        </w:rPr>
        <w:t xml:space="preserve">　　然而，當前傳統單一的身體活動或單一認知訓練效果有限，無法模擬日常生活的多工需求。在藥物治療無法完全解決問題的情況下，非藥物介入的需求極為迫切；且目前社區場域（如日照中心）普遍缺乏標準化且有實證支持的介入模式，顯示市場對於創新延緩高齡認知退化方案的需求極為迫切。</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二、田野訪談與真實痛點發掘</w:t>
      </w:r>
    </w:p>
    <w:p w:rsidR="00B96E4E" w:rsidRPr="005633E3" w:rsidRDefault="007C18F2" w:rsidP="008A5E38">
      <w:pPr>
        <w:pStyle w:val="Default"/>
        <w:snapToGrid w:val="0"/>
        <w:spacing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為了確實掌握潛在用戶的真實需求，團隊於開發初期針對 50 至 70 歲的初老與銀髮族群發放了 Google 網路問卷進行市場調查。起初，我們的構想是開發一款協助長輩日常生活的數位 LINE Bot，但在大量彙整這群真實長輩的反饋後，我們察覺到了市場真正的缺口。</w:t>
      </w:r>
    </w:p>
    <w:p w:rsidR="00B96E4E" w:rsidRPr="005633E3" w:rsidRDefault="007C18F2" w:rsidP="008A5E38">
      <w:pPr>
        <w:pStyle w:val="Default"/>
        <w:snapToGrid w:val="0"/>
        <w:spacing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問卷與後續的訪談結果顯示，目前市面的高齡健康促進輔具多半功能單一。長輩們反映，純認知型的益智遊戲或數位介面，常因缺乏肢體動作的實體回饋，容易讓長輩感到乏味而產生抗拒。此外，許多長輩常因手部顫抖等生理限制，在參與現有遊戲過程中頻頻受挫，最終甚至排斥參與任何社群互動。</w:t>
      </w:r>
    </w:p>
    <w:p w:rsidR="00B96E4E" w:rsidRPr="005633E3" w:rsidRDefault="007C18F2" w:rsidP="008A5E38">
      <w:pPr>
        <w:pStyle w:val="Default"/>
        <w:snapToGrid w:val="0"/>
        <w:spacing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這些第一手調查反饋，促使團隊放棄原先的 LINE Bot，轉而打造能兼顧「實體肢體回饋」與「防挫折機制」的健康促進桌遊，真正解決長者在社交與生理退化上遇到的痛點。</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三、團隊解方與計畫可實現性</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針對上述痛點，本計畫量身打造了一款專屬高齡者的互動桌遊。在技術可行性上，團隊已自行掌握核心的「觸覺天秤機構」與「聲音反饋裝置」等開發技術。同時，為確保產品符合臨床醫學原理，亦邀請高齡心理與職能治療專家擔任顧問進行監修。</w:t>
      </w:r>
    </w:p>
    <w:p w:rsidR="008A5E38"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透過遊戲中高頻率、低門檻的正向回饋機制，期望能在沒有壓力的情境下，有效延緩長輩的認知退化，並大幅降低因生理衰退所產生的挫折感與孤立感。</w:t>
      </w:r>
    </w:p>
    <w:p w:rsidR="00B96E4E" w:rsidRPr="005633E3" w:rsidRDefault="008A5E38" w:rsidP="008A5E38">
      <w:pPr>
        <w:widowControl/>
        <w:rPr>
          <w:rFonts w:ascii="標楷體" w:eastAsia="標楷體" w:hAnsi="標楷體" w:cs="MS PGothic"/>
          <w:color w:val="1F1F1F"/>
          <w:kern w:val="0"/>
          <w:szCs w:val="24"/>
        </w:rPr>
      </w:pPr>
      <w:r w:rsidRPr="005633E3">
        <w:rPr>
          <w:rFonts w:ascii="標楷體" w:eastAsia="標楷體" w:hAnsi="標楷體"/>
          <w:color w:val="1F1F1F"/>
        </w:rPr>
        <w:br w:type="page"/>
      </w: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lastRenderedPageBreak/>
        <w:t>貳、公司目標、願景與產</w:t>
      </w:r>
      <w:r w:rsidR="001B4630" w:rsidRPr="005633E3">
        <w:rPr>
          <w:rFonts w:ascii="標楷體" w:eastAsia="標楷體" w:hAnsi="標楷體" w:hint="eastAsia"/>
          <w:b/>
          <w:color w:val="1F1F1F"/>
        </w:rPr>
        <w:t>品</w:t>
      </w:r>
      <w:r w:rsidR="001B4630" w:rsidRPr="005633E3">
        <w:rPr>
          <w:rFonts w:ascii="標楷體" w:eastAsia="標楷體" w:hAnsi="標楷體"/>
          <w:b/>
          <w:color w:val="1F1F1F"/>
        </w:rPr>
        <w:t>/</w:t>
      </w:r>
      <w:r w:rsidR="001B4630" w:rsidRPr="005633E3">
        <w:rPr>
          <w:rFonts w:ascii="標楷體" w:eastAsia="標楷體" w:hAnsi="標楷體" w:hint="eastAsia"/>
          <w:b/>
          <w:color w:val="1F1F1F"/>
        </w:rPr>
        <w:t>服務</w:t>
      </w:r>
      <w:r w:rsidRPr="005633E3">
        <w:rPr>
          <w:rFonts w:ascii="標楷體" w:eastAsia="標楷體" w:hAnsi="標楷體" w:hint="eastAsia"/>
          <w:b/>
          <w:color w:val="1F1F1F"/>
        </w:rPr>
        <w:t>內容</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一、產品與服務內容</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本產品是一款特別為長者打造的多功能桌遊教具，主要包含以下三個核心遊戲機制：</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（一）大富翁式棋盤與記憶挑戰</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遊戲地圖設計為 12 格的正方形。其中 8 格會放置生活常見物品的記憶卡片，長者需記住圖案後將卡片蓋上。另外包含 3 格「機會與命運」，以及 1 格起點。（完整卡牌清單請見附件）</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（二）雙硬幣隨機遊戲機制</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捨棄傳統骰子，改用拋擲兩枚硬幣來決定玩家行動。若擲出兩面人頭，玩家前進兩格；若擲出兩面數字，玩家留在原地但可翻看一張牌；若擲出一頭一數字，玩家前進一格並需進行「抽積木」挑戰。積木塔倒塌則遊戲結束；若未倒，玩家可再前進一格，但必須正確說出下一格覆蓋的卡牌內容。</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（三）防挫折的創新觸覺天秤機制</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考量到部分長者可能因手部顫抖而感到挫折，設計了「感官天秤挑戰」作為替代方案。天秤桿子上設有多個孔洞，長者需把沒有標示重量的砝碼掛上去，依靠觸覺感受重量。若掛放不當導致天秤過度歪斜，裝置會發出輕脆的「咖」機械聲，代表挑戰失敗。</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（四）產品原型操作與演示影片</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影片連結：</w:t>
      </w:r>
      <w:hyperlink r:id="rId6" w:history="1">
        <w:r w:rsidR="00457ADF" w:rsidRPr="005633E3">
          <w:rPr>
            <w:rStyle w:val="a3"/>
            <w:rFonts w:ascii="標楷體" w:eastAsia="標楷體" w:hAnsi="標楷體" w:hint="eastAsia"/>
          </w:rPr>
          <w:t>https://youtu.be/RjYGkB2AUt8</w:t>
        </w:r>
      </w:hyperlink>
      <w:r w:rsidR="00457ADF" w:rsidRPr="005633E3">
        <w:rPr>
          <w:rFonts w:ascii="標楷體" w:eastAsia="標楷體" w:hAnsi="標楷體" w:hint="eastAsia"/>
          <w:color w:val="1F1F1F"/>
        </w:rPr>
        <w:t xml:space="preserve"> </w:t>
      </w:r>
      <w:r w:rsidRPr="005633E3">
        <w:rPr>
          <w:rFonts w:ascii="標楷體" w:eastAsia="標楷體" w:hAnsi="標楷體" w:hint="eastAsia"/>
          <w:color w:val="1F1F1F"/>
        </w:rPr>
        <w:t>影片實際示範</w:t>
      </w:r>
      <w:proofErr w:type="gramStart"/>
      <w:r w:rsidRPr="005633E3">
        <w:rPr>
          <w:rFonts w:ascii="標楷體" w:eastAsia="標楷體" w:hAnsi="標楷體" w:hint="eastAsia"/>
          <w:color w:val="1F1F1F"/>
        </w:rPr>
        <w:t>了桌遊</w:t>
      </w:r>
      <w:proofErr w:type="gramEnd"/>
      <w:r w:rsidRPr="005633E3">
        <w:rPr>
          <w:rFonts w:ascii="標楷體" w:eastAsia="標楷體" w:hAnsi="標楷體" w:hint="eastAsia"/>
          <w:color w:val="1F1F1F"/>
        </w:rPr>
        <w:t>中的雙硬幣機制，以及長者如何進行</w:t>
      </w:r>
      <w:proofErr w:type="gramStart"/>
      <w:r w:rsidRPr="005633E3">
        <w:rPr>
          <w:rFonts w:ascii="標楷體" w:eastAsia="標楷體" w:hAnsi="標楷體" w:hint="eastAsia"/>
          <w:color w:val="1F1F1F"/>
        </w:rPr>
        <w:t>記憶卡牌</w:t>
      </w:r>
      <w:proofErr w:type="gramEnd"/>
      <w:r w:rsidRPr="005633E3">
        <w:rPr>
          <w:rFonts w:ascii="標楷體" w:eastAsia="標楷體" w:hAnsi="標楷體" w:hint="eastAsia"/>
          <w:color w:val="1F1F1F"/>
        </w:rPr>
        <w:t>的覆蓋與無標示砝碼的天秤挑戰，並收錄了天秤失去平衡時所發出的溫和機械音「喀」聲回饋。</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二、公司目標與願景</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（一）營運目標</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建立並優化標準化的教具生產流程。預計在第一年內完成產品最終改良與量產，並推廣至全台灣至少 50 個社區照顧關懷據點與日照中心。</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t>（二）社會使命</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以社會企業模式經營。所有利潤都將重新投入研發，致力開發更適合高齡者的無障礙遊戲輔具，回饋給更多受高齡化影響的社區。</w:t>
      </w:r>
    </w:p>
    <w:p w:rsidR="00B96E4E" w:rsidRPr="005633E3" w:rsidRDefault="007C18F2" w:rsidP="008A5E38">
      <w:pPr>
        <w:pStyle w:val="Default"/>
        <w:snapToGrid w:val="0"/>
        <w:spacing w:before="240" w:after="120" w:line="276" w:lineRule="auto"/>
        <w:ind w:leftChars="200" w:left="480"/>
        <w:rPr>
          <w:rFonts w:ascii="標楷體" w:eastAsia="標楷體" w:hAnsi="標楷體"/>
          <w:color w:val="1F1F1F"/>
        </w:rPr>
      </w:pPr>
      <w:r w:rsidRPr="005633E3">
        <w:rPr>
          <w:rFonts w:ascii="標楷體" w:eastAsia="標楷體" w:hAnsi="標楷體" w:hint="eastAsia"/>
          <w:color w:val="1F1F1F"/>
        </w:rPr>
        <w:lastRenderedPageBreak/>
        <w:t>（三）長期願景</w:t>
      </w:r>
    </w:p>
    <w:p w:rsidR="00B96E4E" w:rsidRPr="005633E3" w:rsidRDefault="007C18F2" w:rsidP="008A5E38">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目標在五年內，把這套產品推廣到全台各鄉鎮的樂齡學習中心。由於桌上遊戲適合多人參與、規則彈性且能創造持續社交互動，期望讓更多地區的長者享有充滿趣味的認知訓練資源，打造跨世代共遊、沒有年齡隔閡的健康老化環境。</w:t>
      </w:r>
    </w:p>
    <w:p w:rsidR="008970C0" w:rsidRPr="005633E3" w:rsidRDefault="008970C0" w:rsidP="008A5E38">
      <w:pPr>
        <w:pStyle w:val="Default"/>
        <w:spacing w:before="240" w:after="120"/>
        <w:ind w:leftChars="200" w:left="480"/>
        <w:rPr>
          <w:rFonts w:ascii="標楷體" w:eastAsia="標楷體" w:hAnsi="標楷體"/>
          <w:b/>
          <w:color w:val="1F1F1F"/>
        </w:rPr>
      </w:pPr>
    </w:p>
    <w:p w:rsidR="00B96E4E" w:rsidRPr="005633E3" w:rsidRDefault="007C18F2" w:rsidP="008A5E38">
      <w:pPr>
        <w:pStyle w:val="Default"/>
        <w:spacing w:before="240" w:after="120"/>
        <w:rPr>
          <w:rFonts w:ascii="標楷體" w:eastAsia="標楷體" w:hAnsi="標楷體"/>
          <w:b/>
          <w:color w:val="1F1F1F"/>
        </w:rPr>
      </w:pPr>
      <w:r w:rsidRPr="005633E3">
        <w:rPr>
          <w:rFonts w:ascii="標楷體" w:eastAsia="標楷體" w:hAnsi="標楷體" w:hint="eastAsia"/>
          <w:b/>
          <w:color w:val="1F1F1F"/>
        </w:rPr>
        <w:t>參、商業模式</w:t>
      </w:r>
    </w:p>
    <w:p w:rsidR="00B96E4E" w:rsidRPr="005633E3" w:rsidRDefault="007C18F2" w:rsidP="008A5E38">
      <w:pPr>
        <w:pStyle w:val="Default"/>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w:t>
      </w:r>
      <w:r w:rsidR="008A5E38" w:rsidRPr="005633E3">
        <w:rPr>
          <w:rFonts w:ascii="標楷體" w:eastAsia="標楷體" w:hAnsi="標楷體"/>
          <w:color w:val="1F1F1F"/>
        </w:rPr>
        <w:tab/>
      </w:r>
      <w:r w:rsidRPr="005633E3">
        <w:rPr>
          <w:rFonts w:ascii="標楷體" w:eastAsia="標楷體" w:hAnsi="標楷體" w:hint="eastAsia"/>
          <w:color w:val="1F1F1F"/>
        </w:rPr>
        <w:t>本計畫</w:t>
      </w:r>
      <w:proofErr w:type="gramStart"/>
      <w:r w:rsidRPr="005633E3">
        <w:rPr>
          <w:rFonts w:ascii="標楷體" w:eastAsia="標楷體" w:hAnsi="標楷體" w:hint="eastAsia"/>
          <w:color w:val="1F1F1F"/>
        </w:rPr>
        <w:t>採</w:t>
      </w:r>
      <w:proofErr w:type="gramEnd"/>
      <w:r w:rsidRPr="005633E3">
        <w:rPr>
          <w:rFonts w:ascii="標楷體" w:eastAsia="標楷體" w:hAnsi="標楷體" w:hint="eastAsia"/>
          <w:color w:val="1F1F1F"/>
        </w:rPr>
        <w:t>行「B2B 機構推廣為主、B2C 終端銷售為輔」的雙軌營運略。透過機構的常態性應用建立產品口碑，並以「直接採購與長期租賃」並行的彈性方案，為團隊</w:t>
      </w:r>
      <w:proofErr w:type="gramStart"/>
      <w:r w:rsidRPr="005633E3">
        <w:rPr>
          <w:rFonts w:ascii="標楷體" w:eastAsia="標楷體" w:hAnsi="標楷體" w:hint="eastAsia"/>
          <w:color w:val="1F1F1F"/>
        </w:rPr>
        <w:t>挹</w:t>
      </w:r>
      <w:proofErr w:type="gramEnd"/>
      <w:r w:rsidRPr="005633E3">
        <w:rPr>
          <w:rFonts w:ascii="標楷體" w:eastAsia="標楷體" w:hAnsi="標楷體" w:hint="eastAsia"/>
          <w:color w:val="1F1F1F"/>
        </w:rPr>
        <w:t>注穩定且具延續性的現金流。</w:t>
      </w:r>
    </w:p>
    <w:p w:rsidR="00B96E4E" w:rsidRPr="005633E3" w:rsidRDefault="00B96E4E">
      <w:pPr>
        <w:spacing w:after="80"/>
        <w:rPr>
          <w:rFonts w:ascii="標楷體" w:eastAsia="標楷體" w:hAnsi="標楷體"/>
        </w:rPr>
      </w:pPr>
    </w:p>
    <w:tbl>
      <w:tblPr>
        <w:tblW w:w="8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2200"/>
        <w:gridCol w:w="6106"/>
      </w:tblGrid>
      <w:tr w:rsidR="00B96E4E" w:rsidRPr="005633E3">
        <w:tc>
          <w:tcPr>
            <w:tcW w:w="2200" w:type="dxa"/>
            <w:shd w:val="clear" w:color="auto" w:fill="1F3864"/>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FFFFFF"/>
              </w:rPr>
              <w:t>要素</w:t>
            </w:r>
          </w:p>
        </w:tc>
        <w:tc>
          <w:tcPr>
            <w:tcW w:w="6106" w:type="dxa"/>
            <w:shd w:val="clear" w:color="auto" w:fill="1F3864"/>
            <w:tcMar>
              <w:top w:w="80" w:type="dxa"/>
              <w:left w:w="120" w:type="dxa"/>
              <w:bottom w:w="80" w:type="dxa"/>
              <w:right w:w="120" w:type="dxa"/>
            </w:tcMar>
          </w:tcPr>
          <w:p w:rsidR="00B96E4E" w:rsidRPr="005633E3" w:rsidRDefault="007C18F2">
            <w:pPr>
              <w:jc w:val="center"/>
              <w:rPr>
                <w:rFonts w:ascii="標楷體" w:eastAsia="標楷體" w:hAnsi="標楷體"/>
              </w:rPr>
            </w:pPr>
            <w:r w:rsidRPr="005633E3">
              <w:rPr>
                <w:rFonts w:ascii="標楷體" w:eastAsia="標楷體" w:hAnsi="標楷體" w:hint="eastAsia"/>
                <w:b/>
                <w:color w:val="FFFFFF"/>
              </w:rPr>
              <w:t>內容說明</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關鍵合作夥伴</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高齡日間照顧中心、長青學苑、社區發展協會、樂齡教具經銷商、政府長照單位，以及職能治療師協會</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關鍵活動</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持續研發與優化教具及天秤機構；舉辦社區據點推廣體驗會；辦理高齡桌遊指導員培訓課程</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價值主張</w:t>
            </w:r>
          </w:p>
        </w:tc>
        <w:tc>
          <w:tcPr>
            <w:tcW w:w="6106" w:type="dxa"/>
            <w:shd w:val="clear" w:color="auto" w:fill="FFFFFF"/>
            <w:tcMar>
              <w:top w:w="80" w:type="dxa"/>
              <w:left w:w="120" w:type="dxa"/>
              <w:bottom w:w="80" w:type="dxa"/>
              <w:right w:w="120" w:type="dxa"/>
            </w:tcMar>
          </w:tcPr>
          <w:p w:rsidR="00B96E4E" w:rsidRPr="005633E3" w:rsidRDefault="007C18F2">
            <w:pPr>
              <w:spacing w:after="60"/>
              <w:rPr>
                <w:rFonts w:ascii="標楷體" w:eastAsia="標楷體" w:hAnsi="標楷體"/>
              </w:rPr>
            </w:pPr>
            <w:r w:rsidRPr="005633E3">
              <w:rPr>
                <w:rFonts w:ascii="標楷體" w:eastAsia="標楷體" w:hAnsi="標楷體" w:hint="eastAsia"/>
                <w:color w:val="1F1F1F"/>
              </w:rPr>
              <w:t>提供市面少見的「雙效合一」樂齡教具。單一遊戲即可同步鍛鍊「短期記憶力」與「手部精細肌肉」，</w:t>
            </w:r>
          </w:p>
          <w:p w:rsidR="00B96E4E" w:rsidRPr="005633E3" w:rsidRDefault="007C18F2">
            <w:pPr>
              <w:rPr>
                <w:rFonts w:ascii="標楷體" w:eastAsia="標楷體" w:hAnsi="標楷體"/>
              </w:rPr>
            </w:pPr>
            <w:r w:rsidRPr="005633E3">
              <w:rPr>
                <w:rFonts w:ascii="標楷體" w:eastAsia="標楷體" w:hAnsi="標楷體" w:hint="eastAsia"/>
                <w:color w:val="1F1F1F"/>
              </w:rPr>
              <w:t>有效訓練長者本體感覺並大幅降低遊玩挫折感</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顧客關係</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定期回訪機構收集回饋，建立線上樂齡社群，提供後續教案更新與玩法擴充支援</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目標客群</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初期鎖定新北市新店區 55 至 75 歲初老族群，專為兩人設計，主打居家共遊情境</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關鍵資源</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特色天秤機構與聲音反饋專利、高齡心理與職能治療顧問團隊、完善的社區推廣網絡</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通路</w:t>
            </w:r>
          </w:p>
        </w:tc>
        <w:tc>
          <w:tcPr>
            <w:tcW w:w="6106" w:type="dxa"/>
            <w:shd w:val="clear" w:color="auto" w:fill="FFFFFF"/>
            <w:tcMar>
              <w:top w:w="80" w:type="dxa"/>
              <w:left w:w="120" w:type="dxa"/>
              <w:bottom w:w="80" w:type="dxa"/>
              <w:right w:w="120" w:type="dxa"/>
            </w:tcMar>
          </w:tcPr>
          <w:p w:rsidR="00B96E4E" w:rsidRPr="005633E3" w:rsidRDefault="007C18F2">
            <w:pPr>
              <w:spacing w:after="60"/>
              <w:rPr>
                <w:rFonts w:ascii="標楷體" w:eastAsia="標楷體" w:hAnsi="標楷體"/>
              </w:rPr>
            </w:pPr>
            <w:r w:rsidRPr="005633E3">
              <w:rPr>
                <w:rFonts w:ascii="標楷體" w:eastAsia="標楷體" w:hAnsi="標楷體" w:hint="eastAsia"/>
                <w:color w:val="1F1F1F"/>
              </w:rPr>
              <w:t>【實體】與安養中心、長青社團合作，定位為常態性活動輔具；同時參展長照輔具展覽</w:t>
            </w:r>
          </w:p>
          <w:p w:rsidR="00B96E4E" w:rsidRPr="005633E3" w:rsidRDefault="007C18F2">
            <w:pPr>
              <w:rPr>
                <w:rFonts w:ascii="標楷體" w:eastAsia="標楷體" w:hAnsi="標楷體"/>
              </w:rPr>
            </w:pPr>
            <w:r w:rsidRPr="005633E3">
              <w:rPr>
                <w:rFonts w:ascii="標楷體" w:eastAsia="標楷體" w:hAnsi="標楷體" w:hint="eastAsia"/>
                <w:color w:val="1F1F1F"/>
              </w:rPr>
              <w:t>【線上】佈局樂齡網等電商平台</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t>成本結構</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教具生產材料費（木料、專利組件）、研發與講師人事費、行銷推廣與據點交通開銷</w:t>
            </w:r>
          </w:p>
        </w:tc>
      </w:tr>
      <w:tr w:rsidR="00B96E4E" w:rsidRPr="005633E3">
        <w:tc>
          <w:tcPr>
            <w:tcW w:w="2200" w:type="dxa"/>
            <w:shd w:val="clear" w:color="auto" w:fill="D6E4F0"/>
            <w:tcMar>
              <w:top w:w="80" w:type="dxa"/>
              <w:left w:w="120" w:type="dxa"/>
              <w:bottom w:w="80" w:type="dxa"/>
              <w:right w:w="120" w:type="dxa"/>
            </w:tcMar>
            <w:vAlign w:val="center"/>
          </w:tcPr>
          <w:p w:rsidR="00B96E4E" w:rsidRPr="005633E3" w:rsidRDefault="007C18F2">
            <w:pPr>
              <w:jc w:val="center"/>
              <w:rPr>
                <w:rFonts w:ascii="標楷體" w:eastAsia="標楷體" w:hAnsi="標楷體"/>
              </w:rPr>
            </w:pPr>
            <w:r w:rsidRPr="005633E3">
              <w:rPr>
                <w:rFonts w:ascii="標楷體" w:eastAsia="標楷體" w:hAnsi="標楷體" w:hint="eastAsia"/>
                <w:b/>
                <w:color w:val="1F1F1F"/>
              </w:rPr>
              <w:lastRenderedPageBreak/>
              <w:t>收益流</w:t>
            </w:r>
          </w:p>
        </w:tc>
        <w:tc>
          <w:tcPr>
            <w:tcW w:w="6106" w:type="dxa"/>
            <w:shd w:val="clear" w:color="auto" w:fill="FFFFFF"/>
            <w:tcMar>
              <w:top w:w="80" w:type="dxa"/>
              <w:left w:w="120" w:type="dxa"/>
              <w:bottom w:w="80" w:type="dxa"/>
              <w:right w:w="120" w:type="dxa"/>
            </w:tcMar>
          </w:tcPr>
          <w:p w:rsidR="00B96E4E" w:rsidRPr="005633E3" w:rsidRDefault="007C18F2">
            <w:pPr>
              <w:rPr>
                <w:rFonts w:ascii="標楷體" w:eastAsia="標楷體" w:hAnsi="標楷體"/>
              </w:rPr>
            </w:pPr>
            <w:r w:rsidRPr="005633E3">
              <w:rPr>
                <w:rFonts w:ascii="標楷體" w:eastAsia="標楷體" w:hAnsi="標楷體" w:hint="eastAsia"/>
                <w:color w:val="1F1F1F"/>
              </w:rPr>
              <w:t>桌遊教具終端銷售收入、B2B 機構長期租賃方案、桌遊帶領員認證培訓學費</w:t>
            </w:r>
          </w:p>
        </w:tc>
      </w:tr>
    </w:tbl>
    <w:p w:rsidR="00B96E4E" w:rsidRPr="005633E3" w:rsidRDefault="00B96E4E">
      <w:pPr>
        <w:spacing w:after="80"/>
        <w:rPr>
          <w:rFonts w:ascii="標楷體" w:eastAsia="標楷體" w:hAnsi="標楷體"/>
        </w:rPr>
      </w:pP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肆、計畫創新性與獨特性</w:t>
      </w:r>
    </w:p>
    <w:p w:rsidR="00B96E4E" w:rsidRPr="005633E3" w:rsidRDefault="007C18F2" w:rsidP="008970C0">
      <w:pPr>
        <w:pStyle w:val="Default"/>
        <w:snapToGrid w:val="0"/>
        <w:spacing w:after="60" w:line="276" w:lineRule="auto"/>
        <w:rPr>
          <w:rFonts w:ascii="標楷體" w:eastAsia="標楷體" w:hAnsi="標楷體"/>
          <w:color w:val="1F1F1F"/>
        </w:rPr>
      </w:pPr>
      <w:r w:rsidRPr="005633E3">
        <w:rPr>
          <w:rFonts w:ascii="標楷體" w:eastAsia="標楷體" w:hAnsi="標楷體" w:hint="eastAsia"/>
          <w:color w:val="1F1F1F"/>
        </w:rPr>
        <w:t xml:space="preserve">　　經深度盤點與分析現行高齡照護市場之競品，本團隊萃取過往同類產品之成敗經驗，並嚴格揉合醫學實證與學術研究數據，轉化為本計畫之三大核心競爭優勢：</w:t>
      </w:r>
    </w:p>
    <w:p w:rsidR="00B96E4E" w:rsidRPr="005633E3" w:rsidRDefault="007C18F2" w:rsidP="008970C0">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一、打破單一訓練侷限，手腦結合的雙重刺激任務訓練</w:t>
      </w:r>
    </w:p>
    <w:p w:rsidR="00B96E4E" w:rsidRPr="005633E3" w:rsidRDefault="007C18F2" w:rsidP="008970C0">
      <w:pPr>
        <w:pStyle w:val="Default"/>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多數銀髮桌遊於市場鎩羽而歸之主因，乃在於僅將常規桌遊進行視覺放大，或限縮於純認知型益智解謎，致使正向回饋匱乏。本計畫導入「雙重任務訓練」的實證概念，將注意力（雙硬幣驅動）、記憶力（卡牌位置記憶）、語言能力（口語表達卡牌內容）以及建構定義能力完美結合，促使高齡者同步執行認知性與動作性任務。國內臨床研究證實，經八週訓練後長者在 MMSE 記憶力分數呈現顯著成長，MoCA 延遲記憶分數亦達顯著進步，上下肢肌力皆有提升（李佳穎，2026）。本產品深度整合手部精細肌肉之微控機制，藉此達成全面性大腦與末梢神經活化。</w:t>
      </w:r>
    </w:p>
    <w:p w:rsidR="00B96E4E" w:rsidRPr="005633E3" w:rsidRDefault="007C18F2" w:rsidP="008970C0">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二、構築高頻率之正向心理回饋機制</w:t>
      </w:r>
    </w:p>
    <w:p w:rsidR="00B96E4E" w:rsidRPr="005633E3" w:rsidRDefault="007C18F2" w:rsidP="008970C0">
      <w:pPr>
        <w:pStyle w:val="Default"/>
        <w:spacing w:after="60"/>
        <w:ind w:leftChars="200" w:left="480"/>
        <w:rPr>
          <w:rFonts w:ascii="標楷體" w:eastAsia="標楷體" w:hAnsi="標楷體"/>
          <w:color w:val="1F1F1F"/>
        </w:rPr>
      </w:pPr>
      <w:r w:rsidRPr="005633E3">
        <w:rPr>
          <w:rFonts w:ascii="標楷體" w:eastAsia="標楷體" w:hAnsi="標楷體" w:hint="eastAsia"/>
          <w:color w:val="1F1F1F"/>
        </w:rPr>
        <w:t xml:space="preserve">　　國內外多項學術研究均證實（劉婕妤，2019），桌上遊戲具備顯著提升機構高齡者正向情緒與緩解憂鬱之療效。本計畫刻意屏除易引發長者強烈挫折感之懲罰機制，轉而導入短時效且高頻次之正向回饋系統。當天秤挑戰失衡時，裝置僅釋放溫和之機械「喀」聲作為警示，確保長者得以於極短時間內獲取成就感，大幅優化其反覆遊玩之黏著度與遵從性。</w:t>
      </w:r>
    </w:p>
    <w:p w:rsidR="00B96E4E" w:rsidRPr="005633E3" w:rsidRDefault="007C18F2" w:rsidP="008970C0">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三、營造自然且無壓迫感之社交場域</w:t>
      </w:r>
    </w:p>
    <w:p w:rsidR="00B96E4E" w:rsidRPr="005633E3" w:rsidRDefault="007C18F2" w:rsidP="008970C0">
      <w:pPr>
        <w:pStyle w:val="Default"/>
        <w:spacing w:after="60"/>
        <w:ind w:leftChars="200" w:left="480"/>
        <w:rPr>
          <w:rFonts w:ascii="標楷體" w:eastAsia="標楷體" w:hAnsi="標楷體"/>
          <w:color w:val="1F1F1F"/>
        </w:rPr>
      </w:pPr>
      <w:r w:rsidRPr="005633E3">
        <w:rPr>
          <w:rFonts w:ascii="標楷體" w:eastAsia="標楷體" w:hAnsi="標楷體" w:hint="eastAsia"/>
          <w:color w:val="1F1F1F"/>
        </w:rPr>
        <w:t xml:space="preserve">　　國內實證研究指出，桌上遊戲能有效改善高齡者人際疏離與社會退縮等狀況（劉婕妤，2019）。本桌遊之機制設計旨在不著痕跡地引導玩家進行互動，避免高度仰賴口語表達之派對桌遊所賦予長者之過度社交壓力，以無負擔之形式實質提升長者之社會參與度與心理健康水準。</w:t>
      </w: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伍、預期社會效益與社會影響力</w:t>
      </w:r>
    </w:p>
    <w:p w:rsidR="00B96E4E" w:rsidRPr="005633E3" w:rsidRDefault="007C18F2">
      <w:pPr>
        <w:pStyle w:val="Default"/>
        <w:spacing w:after="60"/>
        <w:rPr>
          <w:rFonts w:ascii="標楷體" w:eastAsia="標楷體" w:hAnsi="標楷體"/>
          <w:color w:val="1F1F1F"/>
        </w:rPr>
      </w:pPr>
      <w:r w:rsidRPr="005633E3">
        <w:rPr>
          <w:rFonts w:ascii="標楷體" w:eastAsia="標楷體" w:hAnsi="標楷體" w:hint="eastAsia"/>
          <w:color w:val="1F1F1F"/>
        </w:rPr>
        <w:t xml:space="preserve">　　本計畫旨在建構一個從「個人身心賦能」、「實證數據衡量」到「社會系統優化」的全方位影響力桌游。我們透過具備醫學實證的創新介入模式，在提升長者社交尊嚴的同時，建立可量化的社會效益追蹤機制，為台灣超高齡社會</w:t>
      </w:r>
      <w:r w:rsidRPr="005633E3">
        <w:rPr>
          <w:rFonts w:ascii="標楷體" w:eastAsia="標楷體" w:hAnsi="標楷體" w:hint="eastAsia"/>
          <w:color w:val="1F1F1F"/>
        </w:rPr>
        <w:lastRenderedPageBreak/>
        <w:t>提供可持續、可負擔且具備溫度的系統性解決方案。</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一、對利害關係人的影響</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本計畫為社區長者提供安全、有趣且帶有復健效果的社交遊戲，並制定容易負擔的價格，確保一般據點與低收入家庭都有能力取得這套教具。</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二、預期的社會改變與衡量方式</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本計畫採用雙軌指標衡量產品社會效益與市場接受度：量化指標透過逐月追蹤銷售數量與機構採用率評估市場滲透狀況；質化指標則建立定期回訪機制，向合作之安養中心與社福機構蒐集第一線回饋。計畫初期預計將產品導入 30 個高齡照護據點，每天約可服務 500 名長者。</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三、社會問題的最終解決方案</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本計畫將為在地青年創造擔任樂齡帶領員的工作機會，促進地方就業與社區經濟獨立，並減輕高齡化社會帶來的醫療與照顧負擔。</w:t>
      </w: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陸、財務永續性規劃</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一、初期投資與資金用途</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以 2026 年為基期，初期資金預估用於公司開辦費用、購買初期設備（如 3D 列印機與模具驗證設備），以及作為營運週轉金。</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二、營運支出預估</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主要涵蓋核心團隊人事費用、據點行銷推廣開銷、依據營收固定比例編列的研發費用，以及製作教具所需的木料與紙質材料費。</w:t>
      </w:r>
    </w:p>
    <w:p w:rsidR="00B96E4E" w:rsidRPr="005633E3" w:rsidRDefault="007C18F2" w:rsidP="008970C0">
      <w:pPr>
        <w:pStyle w:val="Default"/>
        <w:snapToGrid w:val="0"/>
        <w:spacing w:before="240" w:after="120" w:line="276" w:lineRule="auto"/>
        <w:ind w:leftChars="200" w:left="480"/>
        <w:rPr>
          <w:rFonts w:ascii="標楷體" w:eastAsia="標楷體" w:hAnsi="標楷體"/>
          <w:b/>
          <w:color w:val="1F1F1F"/>
        </w:rPr>
      </w:pPr>
      <w:r w:rsidRPr="005633E3">
        <w:rPr>
          <w:rFonts w:ascii="標楷體" w:eastAsia="標楷體" w:hAnsi="標楷體" w:hint="eastAsia"/>
          <w:b/>
          <w:color w:val="1F1F1F"/>
        </w:rPr>
        <w:t>三、財務預測與永續發展</w:t>
      </w:r>
    </w:p>
    <w:p w:rsidR="00B96E4E" w:rsidRPr="005633E3" w:rsidRDefault="007C18F2" w:rsidP="008970C0">
      <w:pPr>
        <w:pStyle w:val="Default"/>
        <w:snapToGrid w:val="0"/>
        <w:spacing w:after="60" w:line="276" w:lineRule="auto"/>
        <w:ind w:leftChars="200" w:left="480"/>
        <w:rPr>
          <w:rFonts w:ascii="標楷體" w:eastAsia="標楷體" w:hAnsi="標楷體"/>
          <w:color w:val="1F1F1F"/>
        </w:rPr>
      </w:pPr>
      <w:r w:rsidRPr="005633E3">
        <w:rPr>
          <w:rFonts w:ascii="標楷體" w:eastAsia="標楷體" w:hAnsi="標楷體" w:hint="eastAsia"/>
          <w:color w:val="1F1F1F"/>
        </w:rPr>
        <w:t xml:space="preserve">　　計畫在未來五年內逐步擴大服務。第一年以 B2B 採購建立基礎營收（預計第一年銷售 50 套，第二年 100 套，逐年成長），在維持正向淨利的前提下逐年提高淨利率，確保財務永續性並持續擴大社會效益。</w:t>
      </w: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柒、人力規劃</w:t>
      </w:r>
    </w:p>
    <w:p w:rsidR="00B96E4E" w:rsidRPr="005633E3" w:rsidRDefault="007C18F2" w:rsidP="005633E3">
      <w:pPr>
        <w:pStyle w:val="Default"/>
        <w:snapToGrid w:val="0"/>
        <w:spacing w:after="60" w:line="360" w:lineRule="auto"/>
        <w:rPr>
          <w:rFonts w:ascii="標楷體" w:eastAsia="標楷體" w:hAnsi="標楷體"/>
          <w:color w:val="1F1F1F"/>
        </w:rPr>
      </w:pPr>
      <w:r w:rsidRPr="005633E3">
        <w:rPr>
          <w:rFonts w:ascii="標楷體" w:eastAsia="標楷體" w:hAnsi="標楷體" w:hint="eastAsia"/>
          <w:color w:val="1F1F1F"/>
        </w:rPr>
        <w:t xml:space="preserve">　　團隊核心成員及其在計畫中負責的職責如下：</w:t>
      </w:r>
    </w:p>
    <w:p w:rsidR="005633E3" w:rsidRPr="005633E3" w:rsidRDefault="007C18F2" w:rsidP="005633E3">
      <w:pPr>
        <w:pStyle w:val="Web"/>
        <w:snapToGrid w:val="0"/>
        <w:spacing w:line="360" w:lineRule="auto"/>
        <w:rPr>
          <w:rFonts w:ascii="標楷體" w:eastAsia="標楷體" w:hAnsi="標楷體"/>
        </w:rPr>
      </w:pPr>
      <w:r w:rsidRPr="005633E3">
        <w:rPr>
          <w:rFonts w:ascii="標楷體" w:eastAsia="標楷體" w:hAnsi="標楷體" w:hint="eastAsia"/>
          <w:color w:val="1F1F1F"/>
        </w:rPr>
        <w:t xml:space="preserve">　　</w:t>
      </w:r>
      <w:r w:rsidR="005633E3" w:rsidRPr="005633E3">
        <w:rPr>
          <w:rFonts w:ascii="標楷體" w:eastAsia="標楷體" w:hAnsi="標楷體"/>
          <w:b/>
          <w:bCs/>
        </w:rPr>
        <w:t>周子謙：專案統籌與實體產出開發</w:t>
      </w:r>
      <w:r w:rsidR="005633E3" w:rsidRPr="005633E3">
        <w:rPr>
          <w:rFonts w:ascii="標楷體" w:eastAsia="標楷體" w:hAnsi="標楷體"/>
        </w:rPr>
        <w:t xml:space="preserve"> 主要負責管控整體專案的執行時程與推進進度，</w:t>
      </w:r>
      <w:bookmarkStart w:id="0" w:name="_GoBack"/>
      <w:bookmarkEnd w:id="0"/>
      <w:r w:rsidR="005633E3" w:rsidRPr="005633E3">
        <w:rPr>
          <w:rFonts w:ascii="標楷體" w:eastAsia="標楷體" w:hAnsi="標楷體"/>
        </w:rPr>
        <w:t>並</w:t>
      </w:r>
      <w:proofErr w:type="gramStart"/>
      <w:r w:rsidR="005633E3" w:rsidRPr="005633E3">
        <w:rPr>
          <w:rFonts w:ascii="標楷體" w:eastAsia="標楷體" w:hAnsi="標楷體"/>
        </w:rPr>
        <w:t>主導桌遊機制</w:t>
      </w:r>
      <w:proofErr w:type="gramEnd"/>
      <w:r w:rsidR="005633E3" w:rsidRPr="005633E3">
        <w:rPr>
          <w:rFonts w:ascii="標楷體" w:eastAsia="標楷體" w:hAnsi="標楷體"/>
        </w:rPr>
        <w:t>的具體進行方式與創意發想。在產品實作層面，親自運用 3D 建模技術繪製核心防挫折機制「天平機構」的 3D 列印圖檔，並負責</w:t>
      </w:r>
      <w:r w:rsidR="005633E3" w:rsidRPr="005633E3">
        <w:rPr>
          <w:rFonts w:ascii="標楷體" w:eastAsia="標楷體" w:hAnsi="標楷體"/>
        </w:rPr>
        <w:lastRenderedPageBreak/>
        <w:t>接收、彙整團隊另外兩位成員所設計的機會與命運卡、</w:t>
      </w:r>
      <w:proofErr w:type="gramStart"/>
      <w:r w:rsidR="005633E3" w:rsidRPr="005633E3">
        <w:rPr>
          <w:rFonts w:ascii="標楷體" w:eastAsia="標楷體" w:hAnsi="標楷體"/>
        </w:rPr>
        <w:t>桌遊背景</w:t>
      </w:r>
      <w:proofErr w:type="gramEnd"/>
      <w:r w:rsidR="005633E3" w:rsidRPr="005633E3">
        <w:rPr>
          <w:rFonts w:ascii="標楷體" w:eastAsia="標楷體" w:hAnsi="標楷體"/>
        </w:rPr>
        <w:t>地圖及各類物件卡的數位檔案，將其轉化並組裝為最終的</w:t>
      </w:r>
      <w:proofErr w:type="gramStart"/>
      <w:r w:rsidR="005633E3" w:rsidRPr="005633E3">
        <w:rPr>
          <w:rFonts w:ascii="標楷體" w:eastAsia="標楷體" w:hAnsi="標楷體"/>
        </w:rPr>
        <w:t>實體桌遊成品</w:t>
      </w:r>
      <w:proofErr w:type="gramEnd"/>
      <w:r w:rsidR="005633E3" w:rsidRPr="005633E3">
        <w:rPr>
          <w:rFonts w:ascii="標楷體" w:eastAsia="標楷體" w:hAnsi="標楷體"/>
        </w:rPr>
        <w:t>。</w:t>
      </w:r>
      <w:proofErr w:type="gramStart"/>
      <w:r w:rsidR="005633E3" w:rsidRPr="005633E3">
        <w:rPr>
          <w:rFonts w:ascii="標楷體" w:eastAsia="標楷體" w:hAnsi="標楷體"/>
        </w:rPr>
        <w:t>此外，</w:t>
      </w:r>
      <w:proofErr w:type="gramEnd"/>
      <w:r w:rsidR="005633E3" w:rsidRPr="005633E3">
        <w:rPr>
          <w:rFonts w:ascii="標楷體" w:eastAsia="標楷體" w:hAnsi="標楷體"/>
        </w:rPr>
        <w:t>亦負責專案開發過程的紀錄錄影與最終宣傳影片的剪輯作業，協助檢視並修改商業計畫書內容，同時主動向指導老師詢問與請益，以獲取專業的實務建議並確保專案順利推進。</w:t>
      </w:r>
    </w:p>
    <w:p w:rsidR="005633E3" w:rsidRPr="005633E3" w:rsidRDefault="005633E3" w:rsidP="005633E3">
      <w:pPr>
        <w:pStyle w:val="Web"/>
        <w:snapToGrid w:val="0"/>
        <w:spacing w:line="360" w:lineRule="auto"/>
        <w:rPr>
          <w:rFonts w:ascii="標楷體" w:eastAsia="標楷體" w:hAnsi="標楷體"/>
        </w:rPr>
      </w:pPr>
      <w:r w:rsidRPr="005633E3">
        <w:rPr>
          <w:rFonts w:ascii="標楷體" w:eastAsia="標楷體" w:hAnsi="標楷體"/>
          <w:b/>
          <w:bCs/>
        </w:rPr>
        <w:t>王博宇：視覺設計與學術實證研究</w:t>
      </w:r>
      <w:r w:rsidRPr="005633E3">
        <w:rPr>
          <w:rFonts w:ascii="標楷體" w:eastAsia="標楷體" w:hAnsi="標楷體"/>
        </w:rPr>
        <w:t xml:space="preserve"> 全面</w:t>
      </w:r>
      <w:proofErr w:type="gramStart"/>
      <w:r w:rsidRPr="005633E3">
        <w:rPr>
          <w:rFonts w:ascii="標楷體" w:eastAsia="標楷體" w:hAnsi="標楷體"/>
        </w:rPr>
        <w:t>負責桌遊整體</w:t>
      </w:r>
      <w:proofErr w:type="gramEnd"/>
      <w:r w:rsidRPr="005633E3">
        <w:rPr>
          <w:rFonts w:ascii="標楷體" w:eastAsia="標楷體" w:hAnsi="標楷體"/>
        </w:rPr>
        <w:t>的視覺美感與介面呈現，包含實際繪製與</w:t>
      </w:r>
      <w:proofErr w:type="gramStart"/>
      <w:r w:rsidRPr="005633E3">
        <w:rPr>
          <w:rFonts w:ascii="標楷體" w:eastAsia="標楷體" w:hAnsi="標楷體"/>
        </w:rPr>
        <w:t>製作桌遊的</w:t>
      </w:r>
      <w:proofErr w:type="gramEnd"/>
      <w:r w:rsidRPr="005633E3">
        <w:rPr>
          <w:rFonts w:ascii="標楷體" w:eastAsia="標楷體" w:hAnsi="標楷體"/>
        </w:rPr>
        <w:t>格狀地圖，以及各類物件卡的視覺樣式與排版設計。在文書撰寫與理論基礎方面，擔任商業計畫書主體內容的主筆者，並透過廣泛查詢相關的醫學論文與高齡照護期刊，確保本計畫的雙重任務訓練等遊戲機制具備堅實的醫學與學術實證基礎。同時，負責設計針對高齡者與照護機構的市場調查問卷，以精</w:t>
      </w:r>
      <w:proofErr w:type="gramStart"/>
      <w:r w:rsidRPr="005633E3">
        <w:rPr>
          <w:rFonts w:ascii="標楷體" w:eastAsia="標楷體" w:hAnsi="標楷體"/>
        </w:rPr>
        <w:t>準</w:t>
      </w:r>
      <w:proofErr w:type="gramEnd"/>
      <w:r w:rsidRPr="005633E3">
        <w:rPr>
          <w:rFonts w:ascii="標楷體" w:eastAsia="標楷體" w:hAnsi="標楷體"/>
        </w:rPr>
        <w:t>捕捉使用者的真實痛點，並協同參與指導老師的諮詢討論，確保專案發展方向符合市場需求與學術嚴謹性。</w:t>
      </w:r>
    </w:p>
    <w:p w:rsidR="005633E3" w:rsidRPr="005633E3" w:rsidRDefault="005633E3" w:rsidP="005633E3">
      <w:pPr>
        <w:pStyle w:val="Web"/>
        <w:snapToGrid w:val="0"/>
        <w:spacing w:line="360" w:lineRule="auto"/>
        <w:rPr>
          <w:rFonts w:ascii="標楷體" w:eastAsia="標楷體" w:hAnsi="標楷體"/>
        </w:rPr>
      </w:pPr>
      <w:r w:rsidRPr="005633E3">
        <w:rPr>
          <w:rFonts w:ascii="標楷體" w:eastAsia="標楷體" w:hAnsi="標楷體"/>
          <w:b/>
          <w:bCs/>
        </w:rPr>
        <w:t>林心妍：遊戲機制設計與邏輯收斂</w:t>
      </w:r>
      <w:r w:rsidRPr="005633E3">
        <w:rPr>
          <w:rFonts w:ascii="標楷體" w:eastAsia="標楷體" w:hAnsi="標楷體"/>
        </w:rPr>
        <w:t xml:space="preserve"> 專責開發與設計遊戲中的核心「機會與命運」</w:t>
      </w:r>
      <w:proofErr w:type="gramStart"/>
      <w:r w:rsidRPr="005633E3">
        <w:rPr>
          <w:rFonts w:ascii="標楷體" w:eastAsia="標楷體" w:hAnsi="標楷體"/>
        </w:rPr>
        <w:t>卡牌機制</w:t>
      </w:r>
      <w:proofErr w:type="gramEnd"/>
      <w:r w:rsidRPr="005633E3">
        <w:rPr>
          <w:rFonts w:ascii="標楷體" w:eastAsia="標楷體" w:hAnsi="標楷體"/>
        </w:rPr>
        <w:t>，確保長者在遊玩過程中的挑戰兼顧趣味性、復健效果與適度的認知刺激。在團隊合作與討論過程中，扮演關鍵的邏輯控管與收斂角色，適時導正並聚焦團隊成員（尤其是針對專案統籌端）過於發散的創意構想，確保專案的執行目標明確且不偏離解決高齡問題的核心主軸。</w:t>
      </w:r>
      <w:proofErr w:type="gramStart"/>
      <w:r w:rsidRPr="005633E3">
        <w:rPr>
          <w:rFonts w:ascii="標楷體" w:eastAsia="標楷體" w:hAnsi="標楷體"/>
        </w:rPr>
        <w:t>此外，</w:t>
      </w:r>
      <w:proofErr w:type="gramEnd"/>
      <w:r w:rsidRPr="005633E3">
        <w:rPr>
          <w:rFonts w:ascii="標楷體" w:eastAsia="標楷體" w:hAnsi="標楷體"/>
        </w:rPr>
        <w:t>亦共同分擔商業計畫書的內容編修與細節潤飾，並協助專案宣傳影片的剪輯與後製作業，確保最終產出與提案呈現的品質與完整度。</w:t>
      </w:r>
    </w:p>
    <w:p w:rsidR="00B96E4E" w:rsidRPr="005633E3" w:rsidRDefault="007C18F2" w:rsidP="005633E3">
      <w:pPr>
        <w:pStyle w:val="Default"/>
        <w:snapToGrid w:val="0"/>
        <w:spacing w:after="60" w:line="276" w:lineRule="auto"/>
        <w:ind w:left="480"/>
        <w:rPr>
          <w:rFonts w:ascii="標楷體" w:eastAsia="標楷體" w:hAnsi="標楷體"/>
          <w:b/>
          <w:color w:val="1F1F1F"/>
        </w:rPr>
      </w:pPr>
      <w:r w:rsidRPr="005633E3">
        <w:rPr>
          <w:rFonts w:ascii="標楷體" w:eastAsia="標楷體" w:hAnsi="標楷體" w:hint="eastAsia"/>
          <w:b/>
          <w:color w:val="1F1F1F"/>
        </w:rPr>
        <w:t>捌、物件卡、機會與命運</w:t>
      </w:r>
    </w:p>
    <w:p w:rsidR="008A5E38" w:rsidRPr="005633E3" w:rsidRDefault="008A5E38" w:rsidP="008A5E38">
      <w:pPr>
        <w:pStyle w:val="Default"/>
        <w:spacing w:before="240" w:after="120"/>
        <w:ind w:firstLine="480"/>
        <w:rPr>
          <w:rFonts w:ascii="標楷體" w:eastAsia="標楷體" w:hAnsi="標楷體"/>
          <w:b/>
          <w:color w:val="1F1F1F"/>
        </w:rPr>
      </w:pPr>
      <w:r w:rsidRPr="005633E3">
        <w:rPr>
          <w:rFonts w:ascii="標楷體" w:eastAsia="標楷體" w:hAnsi="標楷體" w:hint="eastAsia"/>
          <w:b/>
          <w:color w:val="1F1F1F"/>
        </w:rPr>
        <w:t>一、物件卡</w:t>
      </w:r>
    </w:p>
    <w:tbl>
      <w:tblPr>
        <w:tblpPr w:leftFromText="180" w:rightFromText="180" w:vertAnchor="text" w:horzAnchor="margin" w:tblpXSpec="center" w:tblpY="87"/>
        <w:tblW w:w="0" w:type="auto"/>
        <w:tblCellSpacing w:w="15" w:type="dxa"/>
        <w:tblCellMar>
          <w:left w:w="0" w:type="dxa"/>
          <w:right w:w="0" w:type="dxa"/>
        </w:tblCellMar>
        <w:tblLook w:val="04A0" w:firstRow="1" w:lastRow="0" w:firstColumn="1" w:lastColumn="0" w:noHBand="0" w:noVBand="1"/>
      </w:tblPr>
      <w:tblGrid>
        <w:gridCol w:w="1635"/>
        <w:gridCol w:w="1620"/>
        <w:gridCol w:w="1620"/>
        <w:gridCol w:w="1380"/>
        <w:gridCol w:w="1515"/>
      </w:tblGrid>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 茶杯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 眼鏡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3. 雨傘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4. 拖鞋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5. 收音機</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6. 紅包袋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7. 帽子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8. 藥丸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9. 牙刷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10. 鏡子</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11. 磁鐵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12. 蠟燭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13. 菜籃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14. 椅子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15. 床</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16. 掃把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17. 水桶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18. 手電筒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19. 念珠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20. 圍巾</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lastRenderedPageBreak/>
              <w:t>21. 手套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22. 布鞋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23. 背包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24. 針線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25. 報紙</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26. 體溫計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27. 聽診器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新細明體"/>
                <w:color w:val="1F1F1F"/>
                <w:kern w:val="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Times New Roman"/>
                <w:kern w:val="0"/>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rPr>
                <w:rFonts w:ascii="標楷體" w:eastAsia="標楷體" w:hAnsi="標楷體" w:cs="Times New Roman"/>
                <w:kern w:val="0"/>
                <w:sz w:val="20"/>
                <w:szCs w:val="20"/>
              </w:rPr>
            </w:pPr>
          </w:p>
        </w:tc>
      </w:tr>
    </w:tbl>
    <w:p w:rsidR="008A5E38" w:rsidRPr="005633E3" w:rsidRDefault="008A5E38" w:rsidP="00477B48">
      <w:pPr>
        <w:pStyle w:val="Default"/>
        <w:spacing w:after="60"/>
        <w:ind w:firstLine="480"/>
        <w:rPr>
          <w:rFonts w:ascii="標楷體" w:eastAsia="標楷體" w:hAnsi="標楷體"/>
          <w:b/>
          <w:color w:val="1F1F1F"/>
        </w:rPr>
      </w:pPr>
      <w:r w:rsidRPr="005633E3">
        <w:rPr>
          <w:rFonts w:ascii="標楷體" w:eastAsia="標楷體" w:hAnsi="標楷體" w:hint="eastAsia"/>
          <w:b/>
          <w:color w:val="1F1F1F"/>
        </w:rPr>
        <w:t>二、機會卡</w:t>
      </w:r>
    </w:p>
    <w:tbl>
      <w:tblPr>
        <w:tblW w:w="0" w:type="auto"/>
        <w:tblCellSpacing w:w="15" w:type="dxa"/>
        <w:tblCellMar>
          <w:left w:w="0" w:type="dxa"/>
          <w:right w:w="0" w:type="dxa"/>
        </w:tblCellMar>
        <w:tblLook w:val="04A0" w:firstRow="1" w:lastRow="0" w:firstColumn="1" w:lastColumn="0" w:noHBand="0" w:noVBand="1"/>
      </w:tblPr>
      <w:tblGrid>
        <w:gridCol w:w="4143"/>
        <w:gridCol w:w="4147"/>
      </w:tblGrid>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 觸摸</w:t>
            </w:r>
            <w:proofErr w:type="gramStart"/>
            <w:r w:rsidRPr="005633E3">
              <w:rPr>
                <w:rFonts w:ascii="標楷體" w:eastAsia="標楷體" w:hAnsi="標楷體" w:cs="新細明體"/>
                <w:color w:val="1F1F1F"/>
                <w:kern w:val="0"/>
                <w:szCs w:val="24"/>
                <w:bdr w:val="none" w:sz="0" w:space="0" w:color="auto" w:frame="1"/>
              </w:rPr>
              <w:t>硬幣猜正反面</w:t>
            </w:r>
            <w:proofErr w:type="gramEnd"/>
            <w:r w:rsidRPr="005633E3">
              <w:rPr>
                <w:rFonts w:ascii="標楷體" w:eastAsia="標楷體" w:hAnsi="標楷體" w:cs="新細明體"/>
                <w:color w:val="1F1F1F"/>
                <w:kern w:val="0"/>
                <w:szCs w:val="24"/>
                <w:bdr w:val="none" w:sz="0" w:space="0" w:color="auto" w:frame="1"/>
              </w:rPr>
              <w:t>，猜對前進1格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 說出三種紅色水果或蔬菜，成功前進1格</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3. 閉眼雙手食指碰鼻尖兩次，成功查看一張牌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4. 說出三個與「水」有關的日常用品，前進1格</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5. 稱讚右手邊玩家，兩人皆前進1格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6. 10秒內將硬幣連續翻面3次，前進1格</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7. 說出今天日期與星期，查看任意一張牌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 xml:space="preserve">8. </w:t>
            </w:r>
            <w:r w:rsidR="00477B48" w:rsidRPr="005633E3">
              <w:rPr>
                <w:rFonts w:ascii="標楷體" w:eastAsia="標楷體" w:hAnsi="標楷體" w:cs="新細明體"/>
                <w:color w:val="1F1F1F"/>
                <w:kern w:val="0"/>
                <w:szCs w:val="24"/>
                <w:bdr w:val="none" w:sz="0" w:space="0" w:color="auto" w:frame="1"/>
              </w:rPr>
              <w:t>兩手握拳張開連續切換3次，前進1格</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9. 單手食指中指夾起硬幣放至地圖中央，前進1格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10. 閉眼說出另一玩家姓名與上衣顏色，前進1格</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11. 清晰</w:t>
            </w:r>
            <w:proofErr w:type="gramStart"/>
            <w:r w:rsidRPr="005633E3">
              <w:rPr>
                <w:rFonts w:ascii="標楷體" w:eastAsia="標楷體" w:hAnsi="標楷體" w:cs="新細明體"/>
                <w:color w:val="1F1F1F"/>
                <w:kern w:val="0"/>
                <w:szCs w:val="24"/>
                <w:bdr w:val="none" w:sz="0" w:space="0" w:color="auto" w:frame="1"/>
              </w:rPr>
              <w:t>唸</w:t>
            </w:r>
            <w:proofErr w:type="gramEnd"/>
            <w:r w:rsidRPr="005633E3">
              <w:rPr>
                <w:rFonts w:ascii="標楷體" w:eastAsia="標楷體" w:hAnsi="標楷體" w:cs="新細明體"/>
                <w:color w:val="1F1F1F"/>
                <w:kern w:val="0"/>
                <w:szCs w:val="24"/>
                <w:bdr w:val="none" w:sz="0" w:space="0" w:color="auto" w:frame="1"/>
              </w:rPr>
              <w:t>出繞口令不打結，前進1格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12. 天秤兩端掛砝碼達平衡，前進1格；失敗原地</w:t>
            </w:r>
          </w:p>
        </w:tc>
      </w:tr>
      <w:tr w:rsidR="008A5E38" w:rsidRPr="005633E3"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13. 社區健康操全勤，選擇前進1格或查看一張牌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5633E3" w:rsidRDefault="008A5E38" w:rsidP="008A5E38">
            <w:pPr>
              <w:widowControl/>
              <w:snapToGrid w:val="0"/>
              <w:spacing w:line="276" w:lineRule="auto"/>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14. 閉眼右手</w:t>
            </w:r>
            <w:proofErr w:type="gramStart"/>
            <w:r w:rsidRPr="005633E3">
              <w:rPr>
                <w:rFonts w:ascii="標楷體" w:eastAsia="標楷體" w:hAnsi="標楷體" w:cs="新細明體"/>
                <w:color w:val="1F1F1F"/>
                <w:kern w:val="0"/>
                <w:szCs w:val="24"/>
                <w:bdr w:val="none" w:sz="0" w:space="0" w:color="auto" w:frame="1"/>
              </w:rPr>
              <w:t>食指碰左耳垂</w:t>
            </w:r>
            <w:proofErr w:type="gramEnd"/>
            <w:r w:rsidRPr="005633E3">
              <w:rPr>
                <w:rFonts w:ascii="標楷體" w:eastAsia="標楷體" w:hAnsi="標楷體" w:cs="新細明體"/>
                <w:color w:val="1F1F1F"/>
                <w:kern w:val="0"/>
                <w:szCs w:val="24"/>
                <w:bdr w:val="none" w:sz="0" w:space="0" w:color="auto" w:frame="1"/>
              </w:rPr>
              <w:t>，前進1格</w:t>
            </w:r>
          </w:p>
        </w:tc>
      </w:tr>
    </w:tbl>
    <w:p w:rsidR="00477B48" w:rsidRPr="005633E3" w:rsidRDefault="00477B48">
      <w:pPr>
        <w:widowControl/>
        <w:rPr>
          <w:rFonts w:ascii="標楷體" w:eastAsia="標楷體" w:hAnsi="標楷體" w:cs="MS PGothic"/>
          <w:b/>
          <w:color w:val="1F1F1F"/>
          <w:kern w:val="0"/>
          <w:szCs w:val="24"/>
        </w:rPr>
      </w:pPr>
      <w:r w:rsidRPr="005633E3">
        <w:rPr>
          <w:rFonts w:ascii="標楷體" w:eastAsia="標楷體" w:hAnsi="標楷體" w:cs="MS PGothic"/>
          <w:b/>
          <w:color w:val="1F1F1F"/>
          <w:kern w:val="0"/>
          <w:szCs w:val="24"/>
        </w:rPr>
        <w:tab/>
      </w:r>
    </w:p>
    <w:p w:rsidR="005C1ADD" w:rsidRPr="005633E3" w:rsidRDefault="00477B48">
      <w:pPr>
        <w:widowControl/>
        <w:rPr>
          <w:rFonts w:ascii="標楷體" w:eastAsia="標楷體" w:hAnsi="標楷體" w:cs="MS PGothic"/>
          <w:b/>
          <w:color w:val="1F1F1F"/>
          <w:kern w:val="0"/>
          <w:szCs w:val="24"/>
        </w:rPr>
      </w:pPr>
      <w:r w:rsidRPr="005633E3">
        <w:rPr>
          <w:rFonts w:ascii="標楷體" w:eastAsia="標楷體" w:hAnsi="標楷體" w:cs="MS PGothic" w:hint="eastAsia"/>
          <w:b/>
          <w:color w:val="1F1F1F"/>
          <w:kern w:val="0"/>
          <w:szCs w:val="24"/>
        </w:rPr>
        <w:t>三、命運卡</w:t>
      </w:r>
    </w:p>
    <w:tbl>
      <w:tblPr>
        <w:tblW w:w="0" w:type="auto"/>
        <w:tblCellSpacing w:w="15" w:type="dxa"/>
        <w:tblCellMar>
          <w:left w:w="0" w:type="dxa"/>
          <w:right w:w="0" w:type="dxa"/>
        </w:tblCellMar>
        <w:tblLook w:val="04A0" w:firstRow="1" w:lastRow="0" w:firstColumn="1" w:lastColumn="0" w:noHBand="0" w:noVBand="1"/>
      </w:tblPr>
      <w:tblGrid>
        <w:gridCol w:w="4268"/>
        <w:gridCol w:w="4022"/>
      </w:tblGrid>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 說出上一張物件卡內容，</w:t>
            </w:r>
            <w:proofErr w:type="gramStart"/>
            <w:r w:rsidRPr="005633E3">
              <w:rPr>
                <w:rFonts w:ascii="標楷體" w:eastAsia="標楷體" w:hAnsi="標楷體" w:cs="新細明體"/>
                <w:color w:val="1F1F1F"/>
                <w:kern w:val="0"/>
                <w:szCs w:val="24"/>
                <w:bdr w:val="none" w:sz="0" w:space="0" w:color="auto" w:frame="1"/>
              </w:rPr>
              <w:t>答錯退</w:t>
            </w:r>
            <w:proofErr w:type="gramEnd"/>
            <w:r w:rsidRPr="005633E3">
              <w:rPr>
                <w:rFonts w:ascii="標楷體" w:eastAsia="標楷體" w:hAnsi="標楷體" w:cs="新細明體"/>
                <w:color w:val="1F1F1F"/>
                <w:kern w:val="0"/>
                <w:szCs w:val="24"/>
                <w:bdr w:val="none" w:sz="0" w:space="0" w:color="auto" w:frame="1"/>
              </w:rPr>
              <w:t>1格；答對原地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2. 閉眼指出大門方向，對前進1格；</w:t>
            </w:r>
            <w:proofErr w:type="gramStart"/>
            <w:r w:rsidRPr="005633E3">
              <w:rPr>
                <w:rFonts w:ascii="標楷體" w:eastAsia="標楷體" w:hAnsi="標楷體" w:cs="新細明體"/>
                <w:color w:val="1F1F1F"/>
                <w:kern w:val="0"/>
                <w:szCs w:val="24"/>
                <w:bdr w:val="none" w:sz="0" w:space="0" w:color="auto" w:frame="1"/>
              </w:rPr>
              <w:t>錯退</w:t>
            </w:r>
            <w:proofErr w:type="gramEnd"/>
            <w:r w:rsidRPr="005633E3">
              <w:rPr>
                <w:rFonts w:ascii="標楷體" w:eastAsia="標楷體" w:hAnsi="標楷體" w:cs="新細明體"/>
                <w:color w:val="1F1F1F"/>
                <w:kern w:val="0"/>
                <w:szCs w:val="24"/>
                <w:bdr w:val="none" w:sz="0" w:space="0" w:color="auto" w:frame="1"/>
              </w:rPr>
              <w:t>1格</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3. 將所有未翻開物件卡隨機交換位置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4. 與另一名玩家互換位置</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5. 暫停</w:t>
            </w:r>
            <w:proofErr w:type="gramStart"/>
            <w:r w:rsidRPr="005633E3">
              <w:rPr>
                <w:rFonts w:ascii="標楷體" w:eastAsia="標楷體" w:hAnsi="標楷體" w:cs="新細明體"/>
                <w:color w:val="1F1F1F"/>
                <w:kern w:val="0"/>
                <w:szCs w:val="24"/>
                <w:bdr w:val="none" w:sz="0" w:space="0" w:color="auto" w:frame="1"/>
              </w:rPr>
              <w:t>一</w:t>
            </w:r>
            <w:proofErr w:type="gramEnd"/>
            <w:r w:rsidRPr="005633E3">
              <w:rPr>
                <w:rFonts w:ascii="標楷體" w:eastAsia="標楷體" w:hAnsi="標楷體" w:cs="新細明體"/>
                <w:color w:val="1F1F1F"/>
                <w:kern w:val="0"/>
                <w:szCs w:val="24"/>
                <w:bdr w:val="none" w:sz="0" w:space="0" w:color="auto" w:frame="1"/>
              </w:rPr>
              <w:t>回合，查看一張未翻開的物件卡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6. 強制用非慣用手抽取1個積木</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lastRenderedPageBreak/>
              <w:t>7. 說出上位玩家擲硬幣結果，對前進1格；錯原地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8. 指定一名玩家抽取一次積木</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9. 眼球左右來回轉動三次，完成原地；失敗退1格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 xml:space="preserve">10. </w:t>
            </w:r>
            <w:proofErr w:type="gramStart"/>
            <w:r w:rsidRPr="005633E3">
              <w:rPr>
                <w:rFonts w:ascii="標楷體" w:eastAsia="標楷體" w:hAnsi="標楷體" w:cs="新細明體"/>
                <w:color w:val="1F1F1F"/>
                <w:kern w:val="0"/>
                <w:szCs w:val="24"/>
                <w:bdr w:val="none" w:sz="0" w:space="0" w:color="auto" w:frame="1"/>
              </w:rPr>
              <w:t>單拋硬幣</w:t>
            </w:r>
            <w:proofErr w:type="gramEnd"/>
            <w:r w:rsidRPr="005633E3">
              <w:rPr>
                <w:rFonts w:ascii="標楷體" w:eastAsia="標楷體" w:hAnsi="標楷體" w:cs="新細明體"/>
                <w:color w:val="1F1F1F"/>
                <w:kern w:val="0"/>
                <w:szCs w:val="24"/>
                <w:bdr w:val="none" w:sz="0" w:space="0" w:color="auto" w:frame="1"/>
              </w:rPr>
              <w:t>，人頭前進2格；數字退1格</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11. 立刻退兩格，但獲得一次免除積木豁免權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12. 下一回合結束前不能出聲，失敗退1格</w:t>
            </w:r>
          </w:p>
        </w:tc>
      </w:tr>
      <w:tr w:rsidR="00477B48" w:rsidRPr="005633E3"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 xml:space="preserve">13. </w:t>
            </w:r>
            <w:proofErr w:type="gramStart"/>
            <w:r w:rsidRPr="005633E3">
              <w:rPr>
                <w:rFonts w:ascii="標楷體" w:eastAsia="標楷體" w:hAnsi="標楷體" w:cs="新細明體"/>
                <w:color w:val="1F1F1F"/>
                <w:kern w:val="0"/>
                <w:szCs w:val="24"/>
                <w:bdr w:val="none" w:sz="0" w:space="0" w:color="auto" w:frame="1"/>
              </w:rPr>
              <w:t>閉眼拋硬幣</w:t>
            </w:r>
            <w:proofErr w:type="gramEnd"/>
            <w:r w:rsidRPr="005633E3">
              <w:rPr>
                <w:rFonts w:ascii="標楷體" w:eastAsia="標楷體" w:hAnsi="標楷體" w:cs="新細明體"/>
                <w:color w:val="1F1F1F"/>
                <w:kern w:val="0"/>
                <w:szCs w:val="24"/>
                <w:bdr w:val="none" w:sz="0" w:space="0" w:color="auto" w:frame="1"/>
              </w:rPr>
              <w:t>，</w:t>
            </w:r>
            <w:proofErr w:type="gramStart"/>
            <w:r w:rsidRPr="005633E3">
              <w:rPr>
                <w:rFonts w:ascii="標楷體" w:eastAsia="標楷體" w:hAnsi="標楷體" w:cs="新細明體"/>
                <w:color w:val="1F1F1F"/>
                <w:kern w:val="0"/>
                <w:szCs w:val="24"/>
                <w:bdr w:val="none" w:sz="0" w:space="0" w:color="auto" w:frame="1"/>
              </w:rPr>
              <w:t>若掉</w:t>
            </w:r>
            <w:proofErr w:type="gramEnd"/>
            <w:r w:rsidRPr="005633E3">
              <w:rPr>
                <w:rFonts w:ascii="標楷體" w:eastAsia="標楷體" w:hAnsi="標楷體" w:cs="新細明體"/>
                <w:color w:val="1F1F1F"/>
                <w:kern w:val="0"/>
                <w:szCs w:val="24"/>
                <w:bdr w:val="none" w:sz="0" w:space="0" w:color="auto" w:frame="1"/>
              </w:rPr>
              <w:t>出地圖外下一回合暫停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5633E3" w:rsidRDefault="00477B48" w:rsidP="00477B48">
            <w:pPr>
              <w:widowControl/>
              <w:rPr>
                <w:rFonts w:ascii="標楷體" w:eastAsia="標楷體" w:hAnsi="標楷體" w:cs="新細明體"/>
                <w:color w:val="1F1F1F"/>
                <w:kern w:val="0"/>
                <w:szCs w:val="24"/>
              </w:rPr>
            </w:pPr>
            <w:r w:rsidRPr="005633E3">
              <w:rPr>
                <w:rFonts w:ascii="標楷體" w:eastAsia="標楷體" w:hAnsi="標楷體" w:cs="新細明體"/>
                <w:color w:val="1F1F1F"/>
                <w:kern w:val="0"/>
                <w:szCs w:val="24"/>
                <w:bdr w:val="none" w:sz="0" w:space="0" w:color="auto" w:frame="1"/>
              </w:rPr>
              <w:t>14. 說出離起點最近的物件卡，失敗下回合暫停</w:t>
            </w:r>
          </w:p>
        </w:tc>
      </w:tr>
    </w:tbl>
    <w:p w:rsidR="00477B48" w:rsidRPr="005633E3" w:rsidRDefault="00477B48">
      <w:pPr>
        <w:widowControl/>
        <w:rPr>
          <w:rFonts w:ascii="標楷體" w:eastAsia="標楷體" w:hAnsi="標楷體" w:cs="MS PGothic"/>
          <w:b/>
          <w:color w:val="1F1F1F"/>
          <w:kern w:val="0"/>
          <w:szCs w:val="24"/>
        </w:rPr>
      </w:pP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玖、產品參考圖</w:t>
      </w:r>
    </w:p>
    <w:p w:rsidR="00477B48" w:rsidRPr="005633E3" w:rsidRDefault="00477B48" w:rsidP="00477B48">
      <w:pPr>
        <w:pStyle w:val="Default"/>
        <w:spacing w:before="240" w:after="120"/>
        <w:rPr>
          <w:rFonts w:ascii="標楷體" w:eastAsia="標楷體" w:hAnsi="標楷體"/>
          <w:b/>
          <w:color w:val="1F1F1F"/>
        </w:rPr>
      </w:pPr>
      <w:r w:rsidRPr="005633E3">
        <w:rPr>
          <w:rFonts w:ascii="標楷體" w:eastAsia="標楷體" w:hAnsi="標楷體"/>
          <w:noProof/>
        </w:rPr>
        <w:drawing>
          <wp:anchor distT="0" distB="0" distL="114300" distR="114300" simplePos="0" relativeHeight="251664384" behindDoc="0" locked="0" layoutInCell="1" allowOverlap="1" wp14:anchorId="750FFF68" wp14:editId="01C63697">
            <wp:simplePos x="0" y="0"/>
            <wp:positionH relativeFrom="margin">
              <wp:posOffset>2589912</wp:posOffset>
            </wp:positionH>
            <wp:positionV relativeFrom="paragraph">
              <wp:posOffset>323402</wp:posOffset>
            </wp:positionV>
            <wp:extent cx="2165985" cy="2650490"/>
            <wp:effectExtent l="0" t="0" r="5715"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787.jpg"/>
                    <pic:cNvPicPr/>
                  </pic:nvPicPr>
                  <pic:blipFill rotWithShape="1">
                    <a:blip r:embed="rId7" cstate="print">
                      <a:extLst>
                        <a:ext uri="{28A0092B-C50C-407E-A947-70E740481C1C}">
                          <a14:useLocalDpi xmlns:a14="http://schemas.microsoft.com/office/drawing/2010/main" val="0"/>
                        </a:ext>
                      </a:extLst>
                    </a:blip>
                    <a:srcRect l="17899" t="9661" r="116" b="33855"/>
                    <a:stretch/>
                  </pic:blipFill>
                  <pic:spPr bwMode="auto">
                    <a:xfrm>
                      <a:off x="0" y="0"/>
                      <a:ext cx="2165985" cy="2650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33E3">
        <w:rPr>
          <w:rFonts w:ascii="標楷體" w:eastAsia="標楷體" w:hAnsi="標楷體"/>
          <w:b/>
          <w:color w:val="1F1F1F"/>
        </w:rPr>
        <w:tab/>
      </w:r>
      <w:r w:rsidRPr="005633E3">
        <w:rPr>
          <w:rFonts w:ascii="標楷體" w:eastAsia="標楷體" w:hAnsi="標楷體" w:hint="eastAsia"/>
          <w:b/>
          <w:color w:val="1F1F1F"/>
        </w:rPr>
        <w:t>一、大富翁棋盤與卡片及積木塔</w:t>
      </w:r>
    </w:p>
    <w:p w:rsidR="00084B47" w:rsidRPr="005633E3" w:rsidRDefault="00477B48">
      <w:pPr>
        <w:pStyle w:val="Default"/>
        <w:spacing w:before="240" w:after="120"/>
        <w:rPr>
          <w:rFonts w:ascii="標楷體" w:eastAsia="標楷體" w:hAnsi="標楷體"/>
          <w:b/>
          <w:color w:val="1F1F1F"/>
        </w:rPr>
      </w:pPr>
      <w:r w:rsidRPr="005633E3">
        <w:rPr>
          <w:rFonts w:ascii="標楷體" w:eastAsia="標楷體" w:hAnsi="標楷體"/>
          <w:noProof/>
        </w:rPr>
        <w:drawing>
          <wp:anchor distT="0" distB="0" distL="114300" distR="114300" simplePos="0" relativeHeight="251666432" behindDoc="0" locked="0" layoutInCell="1" allowOverlap="1" wp14:anchorId="5565ACF1" wp14:editId="38A877A9">
            <wp:simplePos x="0" y="0"/>
            <wp:positionH relativeFrom="margin">
              <wp:posOffset>324764</wp:posOffset>
            </wp:positionH>
            <wp:positionV relativeFrom="paragraph">
              <wp:posOffset>-36044</wp:posOffset>
            </wp:positionV>
            <wp:extent cx="1764665" cy="2621280"/>
            <wp:effectExtent l="0" t="0" r="6985" b="7620"/>
            <wp:wrapSquare wrapText="bothSides"/>
            <wp:docPr id="2" name="Image2"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rotWithShape="1">
                    <a:blip r:embed="rId8" cstate="print">
                      <a:extLst>
                        <a:ext uri="{28A0092B-C50C-407E-A947-70E740481C1C}">
                          <a14:useLocalDpi xmlns:a14="http://schemas.microsoft.com/office/drawing/2010/main" val="0"/>
                        </a:ext>
                      </a:extLst>
                    </a:blip>
                    <a:srcRect t="8099" b="8256"/>
                    <a:stretch/>
                  </pic:blipFill>
                  <pic:spPr bwMode="auto">
                    <a:xfrm>
                      <a:off x="0" y="0"/>
                      <a:ext cx="1764665" cy="2621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77B48" w:rsidRPr="005633E3" w:rsidRDefault="00477B48">
      <w:pPr>
        <w:pStyle w:val="Default"/>
        <w:spacing w:before="240" w:after="120"/>
        <w:rPr>
          <w:rFonts w:ascii="標楷體" w:eastAsia="標楷體" w:hAnsi="標楷體"/>
          <w:b/>
          <w:color w:val="1F1F1F"/>
        </w:rPr>
      </w:pPr>
    </w:p>
    <w:p w:rsidR="00477B48" w:rsidRPr="005633E3" w:rsidRDefault="00477B48">
      <w:pPr>
        <w:pStyle w:val="Default"/>
        <w:spacing w:before="240" w:after="120"/>
        <w:rPr>
          <w:rFonts w:ascii="標楷體" w:eastAsia="標楷體" w:hAnsi="標楷體"/>
          <w:b/>
          <w:color w:val="1F1F1F"/>
        </w:rPr>
      </w:pPr>
    </w:p>
    <w:p w:rsidR="00477B48" w:rsidRPr="005633E3" w:rsidRDefault="00477B48">
      <w:pPr>
        <w:pStyle w:val="Default"/>
        <w:spacing w:before="240" w:after="120"/>
        <w:rPr>
          <w:rFonts w:ascii="標楷體" w:eastAsia="標楷體" w:hAnsi="標楷體"/>
          <w:b/>
          <w:color w:val="1F1F1F"/>
        </w:rPr>
      </w:pPr>
    </w:p>
    <w:p w:rsidR="00477B48" w:rsidRPr="005633E3" w:rsidRDefault="00477B48">
      <w:pPr>
        <w:pStyle w:val="Default"/>
        <w:spacing w:before="240" w:after="120"/>
        <w:rPr>
          <w:rFonts w:ascii="標楷體" w:eastAsia="標楷體" w:hAnsi="標楷體"/>
          <w:b/>
          <w:color w:val="1F1F1F"/>
        </w:rPr>
      </w:pPr>
    </w:p>
    <w:p w:rsidR="00477B48" w:rsidRPr="005633E3" w:rsidRDefault="00477B48">
      <w:pPr>
        <w:pStyle w:val="Default"/>
        <w:spacing w:before="240" w:after="120"/>
        <w:rPr>
          <w:rFonts w:ascii="標楷體" w:eastAsia="標楷體" w:hAnsi="標楷體"/>
          <w:b/>
          <w:color w:val="1F1F1F"/>
        </w:rPr>
      </w:pPr>
    </w:p>
    <w:p w:rsidR="00477B48" w:rsidRPr="005633E3" w:rsidRDefault="00477B48">
      <w:pPr>
        <w:pStyle w:val="Default"/>
        <w:spacing w:before="240" w:after="120"/>
        <w:rPr>
          <w:rFonts w:ascii="標楷體" w:eastAsia="標楷體" w:hAnsi="標楷體"/>
          <w:b/>
          <w:color w:val="1F1F1F"/>
        </w:rPr>
      </w:pPr>
    </w:p>
    <w:p w:rsidR="00B96E4E" w:rsidRPr="005633E3" w:rsidRDefault="00B35DE6">
      <w:pPr>
        <w:pStyle w:val="Default"/>
        <w:spacing w:before="240" w:after="120"/>
        <w:rPr>
          <w:rFonts w:ascii="標楷體" w:eastAsia="標楷體" w:hAnsi="標楷體"/>
          <w:b/>
          <w:color w:val="1F1F1F"/>
        </w:rPr>
      </w:pPr>
      <w:r w:rsidRPr="005633E3">
        <w:rPr>
          <w:rFonts w:ascii="標楷體" w:eastAsia="標楷體" w:hAnsi="標楷體"/>
          <w:noProof/>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432435</wp:posOffset>
            </wp:positionV>
            <wp:extent cx="3249295" cy="2266950"/>
            <wp:effectExtent l="0" t="0" r="8255" b="0"/>
            <wp:wrapSquare wrapText="bothSides"/>
            <wp:docPr id="3" name="Image3"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rotWithShape="1">
                    <a:blip r:embed="rId9" cstate="print">
                      <a:extLst>
                        <a:ext uri="{28A0092B-C50C-407E-A947-70E740481C1C}">
                          <a14:useLocalDpi xmlns:a14="http://schemas.microsoft.com/office/drawing/2010/main" val="0"/>
                        </a:ext>
                      </a:extLst>
                    </a:blip>
                    <a:srcRect l="4700" r="23058" b="10500"/>
                    <a:stretch/>
                  </pic:blipFill>
                  <pic:spPr bwMode="auto">
                    <a:xfrm>
                      <a:off x="0" y="0"/>
                      <a:ext cx="3249295" cy="2266950"/>
                    </a:xfrm>
                    <a:prstGeom prst="rect">
                      <a:avLst/>
                    </a:prstGeom>
                    <a:ln>
                      <a:noFill/>
                    </a:ln>
                    <a:extLst>
                      <a:ext uri="{53640926-AAD7-44D8-BBD7-CCE9431645EC}">
                        <a14:shadowObscured xmlns:a14="http://schemas.microsoft.com/office/drawing/2010/main"/>
                      </a:ext>
                    </a:extLst>
                  </pic:spPr>
                </pic:pic>
              </a:graphicData>
            </a:graphic>
          </wp:anchor>
        </w:drawing>
      </w:r>
      <w:r w:rsidR="00084B47" w:rsidRPr="005633E3">
        <w:rPr>
          <w:rFonts w:ascii="標楷體" w:eastAsia="標楷體" w:hAnsi="標楷體"/>
          <w:noProof/>
        </w:rPr>
        <w:drawing>
          <wp:anchor distT="0" distB="0" distL="114300" distR="114300" simplePos="0" relativeHeight="251661312" behindDoc="1" locked="0" layoutInCell="1" allowOverlap="1">
            <wp:simplePos x="0" y="0"/>
            <wp:positionH relativeFrom="column">
              <wp:posOffset>3415665</wp:posOffset>
            </wp:positionH>
            <wp:positionV relativeFrom="paragraph">
              <wp:posOffset>438150</wp:posOffset>
            </wp:positionV>
            <wp:extent cx="2352040" cy="2277745"/>
            <wp:effectExtent l="0" t="0" r="0" b="8255"/>
            <wp:wrapSquare wrapText="bothSides"/>
            <wp:docPr id="4" name="Image4"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rotWithShape="1">
                    <a:blip r:embed="rId10" cstate="print">
                      <a:extLst>
                        <a:ext uri="{28A0092B-C50C-407E-A947-70E740481C1C}">
                          <a14:useLocalDpi xmlns:a14="http://schemas.microsoft.com/office/drawing/2010/main" val="0"/>
                        </a:ext>
                      </a:extLst>
                    </a:blip>
                    <a:srcRect l="6573" t="23082" r="15506" b="34446"/>
                    <a:stretch/>
                  </pic:blipFill>
                  <pic:spPr bwMode="auto">
                    <a:xfrm>
                      <a:off x="0" y="0"/>
                      <a:ext cx="2352040" cy="227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B47" w:rsidRPr="005633E3">
        <w:rPr>
          <w:rFonts w:ascii="標楷體" w:eastAsia="標楷體" w:hAnsi="標楷體" w:hint="eastAsia"/>
          <w:b/>
          <w:color w:val="1F1F1F"/>
        </w:rPr>
        <w:t>二</w:t>
      </w:r>
      <w:r w:rsidR="007C18F2" w:rsidRPr="005633E3">
        <w:rPr>
          <w:rFonts w:ascii="標楷體" w:eastAsia="標楷體" w:hAnsi="標楷體" w:hint="eastAsia"/>
          <w:b/>
          <w:color w:val="1F1F1F"/>
        </w:rPr>
        <w:t>、</w:t>
      </w:r>
      <w:r w:rsidR="005C1ADD" w:rsidRPr="005633E3">
        <w:rPr>
          <w:rFonts w:ascii="標楷體" w:eastAsia="標楷體" w:hAnsi="標楷體" w:hint="eastAsia"/>
          <w:b/>
          <w:color w:val="1F1F1F"/>
        </w:rPr>
        <w:t>天平與砝碼</w:t>
      </w:r>
    </w:p>
    <w:p w:rsidR="005C1ADD" w:rsidRPr="005633E3" w:rsidRDefault="005C1ADD" w:rsidP="00B35DE6">
      <w:pPr>
        <w:widowControl/>
        <w:rPr>
          <w:rFonts w:ascii="標楷體" w:eastAsia="標楷體" w:hAnsi="標楷體"/>
        </w:rPr>
      </w:pPr>
    </w:p>
    <w:p w:rsidR="00084B47" w:rsidRPr="005633E3" w:rsidRDefault="00084B47" w:rsidP="00084B47">
      <w:pPr>
        <w:spacing w:before="80" w:after="80"/>
        <w:rPr>
          <w:rFonts w:ascii="標楷體" w:eastAsia="標楷體" w:hAnsi="標楷體"/>
        </w:rPr>
      </w:pPr>
      <w:r w:rsidRPr="005633E3">
        <w:rPr>
          <w:rFonts w:ascii="標楷體" w:eastAsia="標楷體" w:hAnsi="標楷體" w:hint="eastAsia"/>
        </w:rPr>
        <w:t>三、</w:t>
      </w:r>
      <w:r w:rsidR="00B16EE8" w:rsidRPr="005633E3">
        <w:rPr>
          <w:rFonts w:ascii="標楷體" w:eastAsia="標楷體" w:hAnsi="標楷體" w:hint="eastAsia"/>
        </w:rPr>
        <w:t>所有道具</w:t>
      </w:r>
      <w:r w:rsidRPr="005633E3">
        <w:rPr>
          <w:rFonts w:ascii="標楷體" w:eastAsia="標楷體" w:hAnsi="標楷體" w:hint="eastAsia"/>
        </w:rPr>
        <w:t>合照</w:t>
      </w:r>
    </w:p>
    <w:p w:rsidR="00084B47" w:rsidRPr="005633E3" w:rsidRDefault="00B16EE8" w:rsidP="00084B47">
      <w:pPr>
        <w:spacing w:before="80" w:after="80"/>
        <w:rPr>
          <w:rFonts w:ascii="標楷體" w:eastAsia="標楷體" w:hAnsi="標楷體"/>
        </w:rPr>
      </w:pPr>
      <w:r w:rsidRPr="005633E3">
        <w:rPr>
          <w:rFonts w:ascii="標楷體" w:eastAsia="標楷體" w:hAnsi="標楷體"/>
          <w:noProof/>
        </w:rPr>
        <w:drawing>
          <wp:inline distT="0" distB="0" distL="0" distR="0" wp14:anchorId="229A7685" wp14:editId="1AC182F1">
            <wp:extent cx="3816166" cy="265303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923" r="17699" b="10620"/>
                    <a:stretch/>
                  </pic:blipFill>
                  <pic:spPr bwMode="auto">
                    <a:xfrm>
                      <a:off x="0" y="0"/>
                      <a:ext cx="3816166" cy="2653030"/>
                    </a:xfrm>
                    <a:prstGeom prst="rect">
                      <a:avLst/>
                    </a:prstGeom>
                    <a:noFill/>
                    <a:ln>
                      <a:noFill/>
                    </a:ln>
                    <a:extLst>
                      <a:ext uri="{53640926-AAD7-44D8-BBD7-CCE9431645EC}">
                        <a14:shadowObscured xmlns:a14="http://schemas.microsoft.com/office/drawing/2010/main"/>
                      </a:ext>
                    </a:extLst>
                  </pic:spPr>
                </pic:pic>
              </a:graphicData>
            </a:graphic>
          </wp:inline>
        </w:drawing>
      </w:r>
    </w:p>
    <w:p w:rsidR="00084B47" w:rsidRPr="005633E3" w:rsidRDefault="00084B47" w:rsidP="00084B47">
      <w:pPr>
        <w:spacing w:before="80" w:after="80"/>
        <w:rPr>
          <w:rFonts w:ascii="標楷體" w:eastAsia="標楷體" w:hAnsi="標楷體"/>
        </w:rPr>
      </w:pPr>
    </w:p>
    <w:p w:rsidR="00B96E4E" w:rsidRPr="005633E3" w:rsidRDefault="007C18F2">
      <w:pPr>
        <w:pStyle w:val="Default"/>
        <w:spacing w:before="240" w:after="120"/>
        <w:rPr>
          <w:rFonts w:ascii="標楷體" w:eastAsia="標楷體" w:hAnsi="標楷體"/>
          <w:b/>
          <w:color w:val="1F1F1F"/>
        </w:rPr>
      </w:pPr>
      <w:r w:rsidRPr="005633E3">
        <w:rPr>
          <w:rFonts w:ascii="標楷體" w:eastAsia="標楷體" w:hAnsi="標楷體" w:hint="eastAsia"/>
          <w:b/>
          <w:color w:val="1F1F1F"/>
        </w:rPr>
        <w:t>拾、參考文獻</w:t>
      </w: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一、老年人口相關資料來源</w:t>
      </w:r>
    </w:p>
    <w:p w:rsidR="00B96E4E" w:rsidRPr="005633E3" w:rsidRDefault="007C18F2" w:rsidP="008A5E38">
      <w:pPr>
        <w:pStyle w:val="Default"/>
        <w:spacing w:after="40"/>
        <w:ind w:leftChars="200" w:left="480"/>
        <w:rPr>
          <w:rFonts w:ascii="標楷體" w:eastAsia="標楷體" w:hAnsi="標楷體"/>
          <w:color w:val="1F1F1F"/>
        </w:rPr>
      </w:pPr>
      <w:r w:rsidRPr="005633E3">
        <w:rPr>
          <w:rFonts w:ascii="標楷體" w:eastAsia="標楷體" w:hAnsi="標楷體" w:hint="eastAsia"/>
          <w:color w:val="1F1F1F"/>
        </w:rPr>
        <w:t xml:space="preserve">　　衛生福利部（2024）。衛生福利部公布最新臺灣社區失智症流行病學調查結果。取自 </w:t>
      </w:r>
      <w:hyperlink r:id="rId12" w:history="1">
        <w:r w:rsidR="005C1ADD" w:rsidRPr="005633E3">
          <w:rPr>
            <w:rStyle w:val="a3"/>
            <w:rFonts w:ascii="標楷體" w:eastAsia="標楷體" w:hAnsi="標楷體" w:hint="eastAsia"/>
          </w:rPr>
          <w:t>https://www.mohw.gov.tw/cp-6653-78102-1.html</w:t>
        </w:r>
      </w:hyperlink>
      <w:r w:rsidR="005C1ADD" w:rsidRPr="005633E3">
        <w:rPr>
          <w:rFonts w:ascii="標楷體" w:eastAsia="標楷體" w:hAnsi="標楷體"/>
          <w:color w:val="1F1F1F"/>
        </w:rPr>
        <w:t xml:space="preserve"> </w:t>
      </w:r>
    </w:p>
    <w:p w:rsidR="00B35DE6" w:rsidRPr="005633E3" w:rsidRDefault="007C18F2" w:rsidP="008A5E38">
      <w:pPr>
        <w:pStyle w:val="Default"/>
        <w:spacing w:after="40"/>
        <w:ind w:leftChars="200" w:left="480"/>
        <w:rPr>
          <w:rFonts w:ascii="標楷體" w:eastAsia="標楷體" w:hAnsi="標楷體"/>
          <w:color w:val="1F1F1F"/>
        </w:rPr>
      </w:pPr>
      <w:r w:rsidRPr="005633E3">
        <w:rPr>
          <w:rFonts w:ascii="標楷體" w:eastAsia="標楷體" w:hAnsi="標楷體" w:hint="eastAsia"/>
          <w:color w:val="1F1F1F"/>
        </w:rPr>
        <w:t xml:space="preserve">　　國家發展委員會（2018）。中華民國人口推估（2018至2065年）。</w:t>
      </w:r>
    </w:p>
    <w:p w:rsidR="00B96E4E" w:rsidRPr="005633E3" w:rsidRDefault="007C18F2" w:rsidP="008A5E38">
      <w:pPr>
        <w:pStyle w:val="Default"/>
        <w:spacing w:after="40"/>
        <w:ind w:leftChars="200" w:left="480"/>
        <w:rPr>
          <w:rFonts w:ascii="標楷體" w:eastAsia="標楷體" w:hAnsi="標楷體"/>
          <w:color w:val="1F1F1F"/>
        </w:rPr>
      </w:pPr>
      <w:r w:rsidRPr="005633E3">
        <w:rPr>
          <w:rFonts w:ascii="標楷體" w:eastAsia="標楷體" w:hAnsi="標楷體" w:hint="eastAsia"/>
          <w:color w:val="1F1F1F"/>
        </w:rPr>
        <w:t xml:space="preserve">取自 </w:t>
      </w:r>
      <w:hyperlink r:id="rId13" w:history="1">
        <w:r w:rsidR="005C1ADD" w:rsidRPr="005633E3">
          <w:rPr>
            <w:rStyle w:val="a3"/>
            <w:rFonts w:ascii="標楷體" w:eastAsia="標楷體" w:hAnsi="標楷體" w:hint="eastAsia"/>
          </w:rPr>
          <w:t>http://www.ndc.gov.tw/Content_List.aspx?n=695E69E28C6AC7F3</w:t>
        </w:r>
      </w:hyperlink>
      <w:r w:rsidR="005C1ADD" w:rsidRPr="005633E3">
        <w:rPr>
          <w:rFonts w:ascii="標楷體" w:eastAsia="標楷體" w:hAnsi="標楷體"/>
          <w:color w:val="1F1F1F"/>
        </w:rPr>
        <w:t xml:space="preserve"> </w:t>
      </w:r>
    </w:p>
    <w:p w:rsidR="00477B48" w:rsidRPr="005633E3" w:rsidRDefault="00477B48" w:rsidP="008A5E38">
      <w:pPr>
        <w:pStyle w:val="Default"/>
        <w:spacing w:before="240" w:after="120"/>
        <w:ind w:leftChars="200" w:left="480"/>
        <w:rPr>
          <w:rFonts w:ascii="標楷體" w:eastAsia="標楷體" w:hAnsi="標楷體"/>
          <w:b/>
          <w:color w:val="1F1F1F"/>
        </w:rPr>
      </w:pPr>
    </w:p>
    <w:p w:rsidR="00477B48" w:rsidRPr="005633E3" w:rsidRDefault="00477B48" w:rsidP="008A5E38">
      <w:pPr>
        <w:pStyle w:val="Default"/>
        <w:spacing w:before="240" w:after="120"/>
        <w:ind w:leftChars="200" w:left="480"/>
        <w:rPr>
          <w:rFonts w:ascii="標楷體" w:eastAsia="標楷體" w:hAnsi="標楷體"/>
          <w:b/>
          <w:color w:val="1F1F1F"/>
        </w:rPr>
      </w:pPr>
    </w:p>
    <w:p w:rsidR="00B96E4E" w:rsidRPr="005633E3" w:rsidRDefault="007C18F2" w:rsidP="008A5E38">
      <w:pPr>
        <w:pStyle w:val="Default"/>
        <w:spacing w:before="240" w:after="120"/>
        <w:ind w:leftChars="200" w:left="480"/>
        <w:rPr>
          <w:rFonts w:ascii="標楷體" w:eastAsia="標楷體" w:hAnsi="標楷體"/>
          <w:b/>
          <w:color w:val="1F1F1F"/>
        </w:rPr>
      </w:pPr>
      <w:r w:rsidRPr="005633E3">
        <w:rPr>
          <w:rFonts w:ascii="標楷體" w:eastAsia="標楷體" w:hAnsi="標楷體" w:hint="eastAsia"/>
          <w:b/>
          <w:color w:val="1F1F1F"/>
        </w:rPr>
        <w:t>二、關於「雙重任務訓練」與「認知、體適能提升數據」的論文資料來源</w:t>
      </w:r>
    </w:p>
    <w:p w:rsidR="00B96E4E" w:rsidRPr="005633E3" w:rsidRDefault="007C18F2" w:rsidP="008A5E38">
      <w:pPr>
        <w:pStyle w:val="Default"/>
        <w:spacing w:after="40"/>
        <w:ind w:leftChars="200" w:left="480"/>
        <w:rPr>
          <w:rFonts w:ascii="標楷體" w:eastAsia="標楷體" w:hAnsi="標楷體"/>
          <w:color w:val="1F1F1F"/>
        </w:rPr>
      </w:pPr>
      <w:r w:rsidRPr="005633E3">
        <w:rPr>
          <w:rFonts w:ascii="標楷體" w:eastAsia="標楷體" w:hAnsi="標楷體" w:hint="eastAsia"/>
          <w:color w:val="1F1F1F"/>
        </w:rPr>
        <w:t xml:space="preserve">　　李佳穎（2026）</w:t>
      </w:r>
      <w:r w:rsidR="00B35DE6" w:rsidRPr="005633E3">
        <w:rPr>
          <w:rFonts w:ascii="標楷體" w:eastAsia="標楷體" w:hAnsi="標楷體" w:hint="eastAsia"/>
          <w:color w:val="1F1F1F"/>
        </w:rPr>
        <w:t>。</w:t>
      </w:r>
      <w:r w:rsidRPr="005633E3">
        <w:rPr>
          <w:rFonts w:ascii="標楷體" w:eastAsia="標楷體" w:hAnsi="標楷體" w:hint="eastAsia"/>
          <w:color w:val="1F1F1F"/>
        </w:rPr>
        <w:t>《雙重任務訓練改善認知障礙高齡者認知與體適能實證研究》。國立臺北護理健康大學。（未出版碩士學位論文）</w:t>
      </w:r>
    </w:p>
    <w:p w:rsidR="00B96E4E" w:rsidRPr="005633E3" w:rsidRDefault="007C18F2" w:rsidP="008A5E38">
      <w:pPr>
        <w:pStyle w:val="Default"/>
        <w:spacing w:after="40"/>
        <w:ind w:leftChars="200" w:left="480"/>
        <w:rPr>
          <w:rFonts w:ascii="標楷體" w:eastAsia="標楷體" w:hAnsi="標楷體"/>
          <w:color w:val="1F1F1F"/>
        </w:rPr>
      </w:pPr>
      <w:r w:rsidRPr="005633E3">
        <w:rPr>
          <w:rFonts w:ascii="標楷體" w:eastAsia="標楷體" w:hAnsi="標楷體" w:hint="eastAsia"/>
          <w:color w:val="1F1F1F"/>
        </w:rPr>
        <w:t xml:space="preserve">　　劉婕妤（2019）。《運用文獻回顧法探討桌上遊戲對延緩高齡者老化之應用成效》。南開科技大學福祉科技與服務管理系（碩士學位論文）</w:t>
      </w:r>
    </w:p>
    <w:p w:rsidR="008A5E38" w:rsidRPr="005633E3" w:rsidRDefault="008A5E38" w:rsidP="008A5E38">
      <w:pPr>
        <w:pStyle w:val="Default"/>
        <w:spacing w:after="40"/>
        <w:ind w:leftChars="200" w:left="480"/>
        <w:rPr>
          <w:rFonts w:ascii="標楷體" w:eastAsia="標楷體" w:hAnsi="標楷體"/>
          <w:color w:val="1F1F1F"/>
        </w:rPr>
      </w:pPr>
    </w:p>
    <w:p w:rsidR="008A5E38" w:rsidRPr="005633E3" w:rsidRDefault="008A5E38" w:rsidP="008A5E38">
      <w:pPr>
        <w:pStyle w:val="Default"/>
        <w:spacing w:after="40"/>
        <w:ind w:leftChars="200" w:left="480"/>
        <w:rPr>
          <w:rFonts w:ascii="標楷體" w:eastAsia="標楷體" w:hAnsi="標楷體"/>
          <w:color w:val="1F1F1F"/>
        </w:rPr>
      </w:pPr>
    </w:p>
    <w:sectPr w:rsidR="008A5E38" w:rsidRPr="005633E3">
      <w:footerReference w:type="defaul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051B" w:rsidRDefault="0035051B" w:rsidP="008970C0">
      <w:r>
        <w:separator/>
      </w:r>
    </w:p>
  </w:endnote>
  <w:endnote w:type="continuationSeparator" w:id="0">
    <w:p w:rsidR="0035051B" w:rsidRDefault="0035051B" w:rsidP="00897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S PGothic">
    <w:altName w:val="MS"/>
    <w:panose1 w:val="020B0600070205080204"/>
    <w:charset w:val="80"/>
    <w:family w:val="swiss"/>
    <w:pitch w:val="variable"/>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7469018"/>
      <w:docPartObj>
        <w:docPartGallery w:val="Page Numbers (Bottom of Page)"/>
        <w:docPartUnique/>
      </w:docPartObj>
    </w:sdtPr>
    <w:sdtContent>
      <w:p w:rsidR="005633E3" w:rsidRDefault="005633E3">
        <w:pPr>
          <w:pStyle w:val="a7"/>
          <w:jc w:val="center"/>
        </w:pPr>
      </w:p>
      <w:p w:rsidR="005633E3" w:rsidRDefault="005633E3">
        <w:pPr>
          <w:pStyle w:val="a7"/>
          <w:jc w:val="center"/>
        </w:pPr>
        <w:r>
          <w:fldChar w:fldCharType="begin"/>
        </w:r>
        <w:r>
          <w:instrText>PAGE   \* MERGEFORMAT</w:instrText>
        </w:r>
        <w:r>
          <w:fldChar w:fldCharType="separate"/>
        </w:r>
        <w:r>
          <w:rPr>
            <w:lang w:val="zh-TW"/>
          </w:rPr>
          <w:t>2</w:t>
        </w:r>
        <w:r>
          <w:fldChar w:fldCharType="end"/>
        </w:r>
      </w:p>
    </w:sdtContent>
  </w:sdt>
  <w:p w:rsidR="005633E3" w:rsidRDefault="005633E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051B" w:rsidRDefault="0035051B" w:rsidP="008970C0">
      <w:r>
        <w:separator/>
      </w:r>
    </w:p>
  </w:footnote>
  <w:footnote w:type="continuationSeparator" w:id="0">
    <w:p w:rsidR="0035051B" w:rsidRDefault="0035051B" w:rsidP="008970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68"/>
    <w:rsid w:val="00084B47"/>
    <w:rsid w:val="00133415"/>
    <w:rsid w:val="001B4630"/>
    <w:rsid w:val="0035051B"/>
    <w:rsid w:val="00457ADF"/>
    <w:rsid w:val="00477B48"/>
    <w:rsid w:val="00562477"/>
    <w:rsid w:val="005633E3"/>
    <w:rsid w:val="005C1ADD"/>
    <w:rsid w:val="00670203"/>
    <w:rsid w:val="007C18F2"/>
    <w:rsid w:val="008920CA"/>
    <w:rsid w:val="008970C0"/>
    <w:rsid w:val="008A5E38"/>
    <w:rsid w:val="009E4C03"/>
    <w:rsid w:val="00B16EE8"/>
    <w:rsid w:val="00B35DE6"/>
    <w:rsid w:val="00B90468"/>
    <w:rsid w:val="00B96E4E"/>
    <w:rsid w:val="00BF312F"/>
    <w:rsid w:val="00D62AA0"/>
    <w:rsid w:val="00DC20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EC47"/>
  <w15:chartTrackingRefBased/>
  <w15:docId w15:val="{71BF0C9C-BB6D-4AB2-87CE-B3C425A8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3">
    <w:name w:val="heading 3"/>
    <w:basedOn w:val="a"/>
    <w:link w:val="30"/>
    <w:uiPriority w:val="9"/>
    <w:qFormat/>
    <w:rsid w:val="008A5E38"/>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F312F"/>
    <w:pPr>
      <w:widowControl w:val="0"/>
      <w:autoSpaceDE w:val="0"/>
      <w:autoSpaceDN w:val="0"/>
      <w:adjustRightInd w:val="0"/>
    </w:pPr>
    <w:rPr>
      <w:rFonts w:ascii="MS PGothic" w:eastAsia="MS PGothic" w:cs="MS PGothic"/>
      <w:color w:val="000000"/>
      <w:kern w:val="0"/>
      <w:szCs w:val="24"/>
    </w:rPr>
  </w:style>
  <w:style w:type="character" w:styleId="a3">
    <w:name w:val="Hyperlink"/>
    <w:basedOn w:val="a0"/>
    <w:uiPriority w:val="99"/>
    <w:unhideWhenUsed/>
    <w:rsid w:val="00457ADF"/>
    <w:rPr>
      <w:color w:val="0563C1" w:themeColor="hyperlink"/>
      <w:u w:val="single"/>
    </w:rPr>
  </w:style>
  <w:style w:type="character" w:styleId="a4">
    <w:name w:val="Unresolved Mention"/>
    <w:basedOn w:val="a0"/>
    <w:uiPriority w:val="99"/>
    <w:semiHidden/>
    <w:unhideWhenUsed/>
    <w:rsid w:val="00457ADF"/>
    <w:rPr>
      <w:color w:val="605E5C"/>
      <w:shd w:val="clear" w:color="auto" w:fill="E1DFDD"/>
    </w:rPr>
  </w:style>
  <w:style w:type="paragraph" w:styleId="a5">
    <w:name w:val="header"/>
    <w:basedOn w:val="a"/>
    <w:link w:val="a6"/>
    <w:uiPriority w:val="99"/>
    <w:unhideWhenUsed/>
    <w:rsid w:val="008970C0"/>
    <w:pPr>
      <w:tabs>
        <w:tab w:val="center" w:pos="4153"/>
        <w:tab w:val="right" w:pos="8306"/>
      </w:tabs>
      <w:snapToGrid w:val="0"/>
    </w:pPr>
    <w:rPr>
      <w:sz w:val="20"/>
      <w:szCs w:val="20"/>
    </w:rPr>
  </w:style>
  <w:style w:type="character" w:customStyle="1" w:styleId="a6">
    <w:name w:val="頁首 字元"/>
    <w:basedOn w:val="a0"/>
    <w:link w:val="a5"/>
    <w:uiPriority w:val="99"/>
    <w:rsid w:val="008970C0"/>
    <w:rPr>
      <w:sz w:val="20"/>
      <w:szCs w:val="20"/>
    </w:rPr>
  </w:style>
  <w:style w:type="paragraph" w:styleId="a7">
    <w:name w:val="footer"/>
    <w:basedOn w:val="a"/>
    <w:link w:val="a8"/>
    <w:uiPriority w:val="99"/>
    <w:unhideWhenUsed/>
    <w:rsid w:val="008970C0"/>
    <w:pPr>
      <w:tabs>
        <w:tab w:val="center" w:pos="4153"/>
        <w:tab w:val="right" w:pos="8306"/>
      </w:tabs>
      <w:snapToGrid w:val="0"/>
    </w:pPr>
    <w:rPr>
      <w:sz w:val="20"/>
      <w:szCs w:val="20"/>
    </w:rPr>
  </w:style>
  <w:style w:type="character" w:customStyle="1" w:styleId="a8">
    <w:name w:val="頁尾 字元"/>
    <w:basedOn w:val="a0"/>
    <w:link w:val="a7"/>
    <w:uiPriority w:val="99"/>
    <w:rsid w:val="008970C0"/>
    <w:rPr>
      <w:sz w:val="20"/>
      <w:szCs w:val="20"/>
    </w:rPr>
  </w:style>
  <w:style w:type="character" w:customStyle="1" w:styleId="30">
    <w:name w:val="標題 3 字元"/>
    <w:basedOn w:val="a0"/>
    <w:link w:val="3"/>
    <w:uiPriority w:val="9"/>
    <w:rsid w:val="008A5E38"/>
    <w:rPr>
      <w:rFonts w:ascii="新細明體" w:eastAsia="新細明體" w:hAnsi="新細明體" w:cs="新細明體"/>
      <w:b/>
      <w:bCs/>
      <w:kern w:val="0"/>
      <w:sz w:val="27"/>
      <w:szCs w:val="27"/>
    </w:rPr>
  </w:style>
  <w:style w:type="character" w:styleId="a9">
    <w:name w:val="Strong"/>
    <w:basedOn w:val="a0"/>
    <w:uiPriority w:val="22"/>
    <w:qFormat/>
    <w:rsid w:val="008A5E38"/>
    <w:rPr>
      <w:b/>
      <w:bCs/>
    </w:rPr>
  </w:style>
  <w:style w:type="paragraph" w:styleId="Web">
    <w:name w:val="Normal (Web)"/>
    <w:basedOn w:val="a"/>
    <w:uiPriority w:val="99"/>
    <w:semiHidden/>
    <w:unhideWhenUsed/>
    <w:rsid w:val="005633E3"/>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0529">
      <w:bodyDiv w:val="1"/>
      <w:marLeft w:val="0"/>
      <w:marRight w:val="0"/>
      <w:marTop w:val="0"/>
      <w:marBottom w:val="0"/>
      <w:divBdr>
        <w:top w:val="none" w:sz="0" w:space="0" w:color="auto"/>
        <w:left w:val="none" w:sz="0" w:space="0" w:color="auto"/>
        <w:bottom w:val="none" w:sz="0" w:space="0" w:color="auto"/>
        <w:right w:val="none" w:sz="0" w:space="0" w:color="auto"/>
      </w:divBdr>
    </w:div>
    <w:div w:id="286816283">
      <w:bodyDiv w:val="1"/>
      <w:marLeft w:val="0"/>
      <w:marRight w:val="0"/>
      <w:marTop w:val="0"/>
      <w:marBottom w:val="0"/>
      <w:divBdr>
        <w:top w:val="none" w:sz="0" w:space="0" w:color="auto"/>
        <w:left w:val="none" w:sz="0" w:space="0" w:color="auto"/>
        <w:bottom w:val="none" w:sz="0" w:space="0" w:color="auto"/>
        <w:right w:val="none" w:sz="0" w:space="0" w:color="auto"/>
      </w:divBdr>
    </w:div>
    <w:div w:id="337197683">
      <w:bodyDiv w:val="1"/>
      <w:marLeft w:val="0"/>
      <w:marRight w:val="0"/>
      <w:marTop w:val="0"/>
      <w:marBottom w:val="0"/>
      <w:divBdr>
        <w:top w:val="none" w:sz="0" w:space="0" w:color="auto"/>
        <w:left w:val="none" w:sz="0" w:space="0" w:color="auto"/>
        <w:bottom w:val="none" w:sz="0" w:space="0" w:color="auto"/>
        <w:right w:val="none" w:sz="0" w:space="0" w:color="auto"/>
      </w:divBdr>
    </w:div>
    <w:div w:id="1046947971">
      <w:bodyDiv w:val="1"/>
      <w:marLeft w:val="0"/>
      <w:marRight w:val="0"/>
      <w:marTop w:val="0"/>
      <w:marBottom w:val="0"/>
      <w:divBdr>
        <w:top w:val="none" w:sz="0" w:space="0" w:color="auto"/>
        <w:left w:val="none" w:sz="0" w:space="0" w:color="auto"/>
        <w:bottom w:val="none" w:sz="0" w:space="0" w:color="auto"/>
        <w:right w:val="none" w:sz="0" w:space="0" w:color="auto"/>
      </w:divBdr>
      <w:divsChild>
        <w:div w:id="779451339">
          <w:marLeft w:val="0"/>
          <w:marRight w:val="0"/>
          <w:marTop w:val="0"/>
          <w:marBottom w:val="0"/>
          <w:divBdr>
            <w:top w:val="none" w:sz="0" w:space="0" w:color="auto"/>
            <w:left w:val="none" w:sz="0" w:space="0" w:color="auto"/>
            <w:bottom w:val="none" w:sz="0" w:space="0" w:color="auto"/>
            <w:right w:val="none" w:sz="0" w:space="0" w:color="auto"/>
          </w:divBdr>
        </w:div>
      </w:divsChild>
    </w:div>
    <w:div w:id="1181510474">
      <w:bodyDiv w:val="1"/>
      <w:marLeft w:val="0"/>
      <w:marRight w:val="0"/>
      <w:marTop w:val="0"/>
      <w:marBottom w:val="0"/>
      <w:divBdr>
        <w:top w:val="none" w:sz="0" w:space="0" w:color="auto"/>
        <w:left w:val="none" w:sz="0" w:space="0" w:color="auto"/>
        <w:bottom w:val="none" w:sz="0" w:space="0" w:color="auto"/>
        <w:right w:val="none" w:sz="0" w:space="0" w:color="auto"/>
      </w:divBdr>
    </w:div>
    <w:div w:id="195798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ndc.gov.tw/Content_List.aspx?n=695E69E28C6AC7F3" TargetMode="Externa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hyperlink" Target="https://www.mohw.gov.tw/cp-6653-78102-1.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youtu.be/RjYGkB2AUt8" TargetMode="Externa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11</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chchou</dc:creator>
  <cp:keywords/>
  <dc:description/>
  <cp:lastModifiedBy>chchou</cp:lastModifiedBy>
  <cp:revision>8</cp:revision>
  <dcterms:created xsi:type="dcterms:W3CDTF">2026-06-03T01:58:00Z</dcterms:created>
  <dcterms:modified xsi:type="dcterms:W3CDTF">2026-06-03T08:39:00Z</dcterms:modified>
</cp:coreProperties>
</file>