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FEDERAL DO PIAUÍ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 DE PÓS-GRADUAÇÃO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Disciplina: Aprendizado de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Predição de Doença Cardíaca com Árvore de Decisão: tratamento de dados, hiperparâmetros e engenharia de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Arthur Fernando Elvas Bohn (20261001997)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Diego Cordeiro de Oliveira (20261002180)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Keoma de Sousa Coelho (20261004952)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Professor: Dr. Vinicius Ponte Machado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2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2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/>
        <w:sectPr>
          <w:pgSz w:h="15840" w:w="12240" w:orient="portrait"/>
          <w:pgMar w:bottom="1417" w:top="1417" w:left="1417" w:right="141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Teresina, 2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de outubro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LISTA DE ABREVIATURAS E SIGLAS</w:t>
      </w: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00"/>
        <w:gridCol w:w="7406"/>
        <w:tblGridChange w:id="0">
          <w:tblGrid>
            <w:gridCol w:w="2000"/>
            <w:gridCol w:w="7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Pressão arterial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Blood Pressure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Validação cruzada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Cross-Validation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Doença arterial coronariana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Eletrocardiograma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Média harmônica entre precisão e revocação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Frequência cardíaca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Falso negativo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Falso positivo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Frequência cardíaca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Heart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 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Intervalo de confiança de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LVH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Hipertrofia ventricular esquerda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Left Ventricular Hypertrophy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Masculino/feminino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de rastreamento de experimentos de aprendizado de máquina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Análise de Componentes Principais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Principal Component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PPGCC/UFPI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 de Pós-Graduação em Ciência da Computação da Universidade Federal do Piauí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Prec. / Rec.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Precisão / revocação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recall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SHapley Additive exPlanations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Synthetic Minority Over-sampling Technique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(sobreamostragem sintética)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Banco de dados relacional leve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Segmento ST do eletrocardiograma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TA/ATA/NAP/ASY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Angina típica / angina atípica / dor não anginosa / assintomático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TN / 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Verdadeiro negativo / verdadeiro positivo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University of California, Irvine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(repositório de conjuntos de dados)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8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Sim/não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  <w:sectPr>
          <w:type w:val="nextPage"/>
          <w:pgSz w:h="15840" w:w="12240" w:orient="portrait"/>
          <w:pgMar w:bottom="1417" w:top="1417" w:left="1417" w:right="141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8707916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 e problema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Base de dados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Origem e descrição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Dicionário de atributos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Distribuição e qualidade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Estatísticas descritivas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Metodologia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Fluxo de processamento (pipeline)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Validação e seleção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Fases do notebook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Engenharia de atributos testada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Resultados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Busca em grade e hiperparâmetros selecionados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Comparação entre as codificações one-hot e ordinal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Referência (baseline) da classe majoritária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Ablação de atributos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Engenharia de atributos (razões e interações clínicas)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 Matrizes de confusão e o erro de maior gravidade clínica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406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4.7 Síntese das transformações e impacto nas métricas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MLflow: registro e tabulação dos experimentos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Avaliação comparativa entre execuções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 Discussão e trabalhos relacionados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 Conclusão e recomendações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9406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Referências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E">
      <w:pPr>
        <w:tabs>
          <w:tab w:val="right" w:leader="none" w:pos="9406"/>
        </w:tabs>
        <w:spacing w:after="0" w:before="0" w:line="360" w:lineRule="auto"/>
        <w:rPr/>
        <w:sectPr>
          <w:type w:val="nextPage"/>
          <w:pgSz w:h="15840" w:w="12240" w:orient="portrait"/>
          <w:pgMar w:bottom="1417" w:top="1417" w:left="1417" w:right="141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Introdução e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doenças cardiovasculares figuram entre as principais causas de morte no mundo. Um modelo de triagem capaz de identificar pacientes com maior probabilidade de doença cardíaca pode apoiar a priorização de exames e reduzir o tempo até o início do tratamento. Neste trabalho, o problema é formulado como uma classificação binária, em que a classe 1 corresponde a pacientes com doença cardíaca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HeartDisease =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a classe 0, a pacientes sem a doença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HeartDisease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erro de maior gravidade clínica é o falso negativo da classe 1, isto é, classificar um paciente doente como “não doente”. Nessa situação, o paciente deixa de receber tratamento e pode evoluir para óbito. Por esse motivo, além da acurácia, este trabalho dedica atenção especial à revocação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recall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ao F1 da classe 1, bem como ao F1 macro, que equilibra o desempenho entre as duas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deste trabalho é avaliar uma Árvore de Decisão combinando tratamento dos dados, ajuste de hiperparâmetros e engenharia de atributos, com o registro de todos os experimentos na plataforma MLflow, de modo a comparar ganhos e perdas de forma reprodutível.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Base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Origem e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Utilizou-se a base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Heart Failure Prediction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disponibilizada no Kaggle por fedesoriano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Heart Failure Prediction – Kaggle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derivada da base UCI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Heart Disease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(Detrano et al., 1989) e resultante da combinação de cinco bases clínicas: Cleveland, Hungria, Suíça, Long Beach VA e Statlog. O arquivo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bases/heart.csv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contém 918 registros e 12 colunas, sendo 11 atributos preditores e a variável-alvo.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1"/>
        <w:spacing w:after="60" w:before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Dicionário de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1 descreve os atributos da base, seus tipos e significados.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1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Dicionário de atributos da base de dados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00"/>
        <w:gridCol w:w="1700"/>
        <w:gridCol w:w="5306"/>
        <w:tblGridChange w:id="0">
          <w:tblGrid>
            <w:gridCol w:w="2400"/>
            <w:gridCol w:w="1700"/>
            <w:gridCol w:w="53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Idade (anos)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Sexo (M/F)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ChestPainType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Tipo de dor no peito (TA, ATA, NAP, ASY)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RestingBP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Pressão arterial em repouso (mm Hg)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Cholesterol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Colesterol sérico (mm/dl)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FastingBS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Glicemia em jejum &gt; 120 mg/dl (1/0)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RestingECG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ECG em repouso (Normal, ST, LVH)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MaxHR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Frequência cardíaca máxima atingida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ExerciseAngina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Angina induzida por exercício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Oldpeak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Depressão do segmento ST induzida por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ST_Slope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Inclinação do segmento ST no pico (Up/Flat/Down)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HeartDisease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Alvo: 1 = doença; 0 =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adaptado de fedesoriano (2021). Legenda: TA = angina típica; ATA = angina atípica; NAP = dor não anginosa; ASY = assintomático; M/F = masculino/feminino; Y/N = sim/não; ST = segmento ST do eletrocardiograma; LVH = hipertrofia ventricular esquerda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Left Ventricular Hypertrophy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Distribuição 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distribuição das classes é apresentada na Tabela 2. Observa-se um desbalanceamento leve, com a classe 1 sendo majoritária (55,34%).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2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Distribuição das classes da variável-alvo</w:t>
      </w: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00"/>
        <w:gridCol w:w="2900"/>
        <w:gridCol w:w="2900"/>
        <w:tblGridChange w:id="0">
          <w:tblGrid>
            <w:gridCol w:w="3600"/>
            <w:gridCol w:w="2900"/>
            <w:gridCol w:w="2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Proporção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(com doença)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55,34%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 (sem doença)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44,66%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Quanto à qualidade dos dados, não há valores ausentes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na base original. Entretanto, o atributo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apresenta 172 registros com valor zero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RestingBP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um registro, valores fisiologicamente implausíveis. Esses zeros foram convertidos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imputados dentro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evitando vazamento de informação.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Chol_por_Idade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depende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esses registros também são imputados no atributo derivado. Ressalta-se ainda que a base não contém triglicerídeos, variável utilizada em alguns estudos clínicos (por exemplo, Page et al., 1970). Não foram encontrados registros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dados foram divididos de forma estratificada na proporção 80/20, resultando em 734 registros de treino e 184 de teste, dos quais 102 pertencem à classe 1 e 82 à classe 0.</w:t>
      </w:r>
    </w:p>
    <w:p w:rsidR="00000000" w:rsidDel="00000000" w:rsidP="00000000" w:rsidRDefault="00000000" w:rsidRPr="00000000" w14:paraId="000000A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Estatísticas descritivas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3 resume as estatísticas descritivas das variáveis numéricas.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3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Estatísticas descritivas das variáveis numéricas</w:t>
      </w: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56"/>
        <w:gridCol w:w="1450"/>
        <w:gridCol w:w="1450"/>
        <w:gridCol w:w="1450"/>
        <w:gridCol w:w="1450"/>
        <w:gridCol w:w="1450"/>
        <w:tblGridChange w:id="0">
          <w:tblGrid>
            <w:gridCol w:w="2156"/>
            <w:gridCol w:w="1450"/>
            <w:gridCol w:w="1450"/>
            <w:gridCol w:w="1450"/>
            <w:gridCol w:w="1450"/>
            <w:gridCol w:w="14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Mín.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Máx.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53,51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9,43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RestingBP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132,40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18,51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Cholesterol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198,80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109,38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FastingBS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MaxHR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136,81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25,46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Oldpeak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sdt>
              <w:sdtPr>
                <w:id w:val="2046578997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−2,6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Fluxo de processamento (pipeline)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avaliado é uma Árvore de Decisão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DecisionTreeClassifier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implementada no notebook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Arvore_Decisao_Heart_Failure_mlflow.ipynb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encapsulada em um fluxo de processamento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composto por três etapas: (i) pré-processamento numérico,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SimpleImputer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tendo sido testadas as estratégias mediana, média e moda — seguido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(ii) pré-processamento categórico, com comparação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OneHotEncoder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OrdinalEncoder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e (iii) o classificador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DecisionTreeClassifier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Todas as etapas são ajustadas exclusivamente sobre a partição de treino de cada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 validação cruzada (CV), o que evita vazamento de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Validação e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conjunto de dados foi dividido de forma estratificada na proporção 80/20 (semente 42), e o conjunto de teste foi reservado até a etapa final. Na busca de hiperparâmetros, empregou-se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RepeatedStratifiedKFold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cinco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folds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duas repetições. A busca em grade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GridSearchCV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utilizou como métrica de reajuste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refit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o F1 da classe 1, sendo também medidas a acurácia, a precisão e a revocação.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grade de hiperparâmetros combinou imputação (3) 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criterion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(2) 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max_depth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(4) 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min_samples_split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(3) 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min_samples_leaf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(3) 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max_features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(2) 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class_weight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(2), totalizando 864 combinações por codificação. Isso corresponde a 8.640 ajustes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por codificação e a 17.280 ajustes no total, considerando as codificações one-hot e ordinal. Os valores testados para cada hiperparâmetro constam na Tabela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4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Valores testados para cada hiperparâmetro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0"/>
        <w:gridCol w:w="5106"/>
        <w:tblGridChange w:id="0">
          <w:tblGrid>
            <w:gridCol w:w="4300"/>
            <w:gridCol w:w="51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Valores testados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prep__num__imp__strategy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median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mean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most_frequent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modelo__criterion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gini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modelo__max_depth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modelo__min_samples_split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modelo__min_samples_leaf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modelo__max_features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sqrt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modelo__class_weight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avaliação no conjunto de teste considerou acurácia, precisão, revocação e F1 para ambas as classes, além do F1 macro, do intervalo de confiança de 95% (IC 95%) do F1 da classe 1 — estimado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bootstrap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1.000 reamostragens — e da matriz de confusão.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Fases do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experimento foi organizado em onze fases, sintetizadas na Tabela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5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Fases do notebook e respectivas atividades</w:t>
      </w: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00"/>
        <w:gridCol w:w="6806"/>
        <w:tblGridChange w:id="0">
          <w:tblGrid>
            <w:gridCol w:w="2600"/>
            <w:gridCol w:w="68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Semente, MLflow (SQLite) e pasta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resultados/execucao_&lt;timestamp&gt;/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Carga e limpeza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Leitura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bases/heart.csv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; zeros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Cholesterol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RestingBP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convertidos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Preparação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ColumnTransformer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(imputação + codificação + escalonamento), divisão 80/20 e CV 5×2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Busca em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864 combinações por codificação; one-hot e ordinal; registro no MLflow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Métricas das duas classes, IC 95%, matriz de confusão e importâncias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 Referência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DummyClassifier(most_frequent)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como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 Interpretação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Importâncias, visualização da árvore e verificação de invariância à 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 Ablação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Remoção de um atributo por vez, com os mesmos hiperparâmetros; ambas as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Cinco razões/interações clínicas; comparação sem e com engenharia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 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CSVs, JSON, PNGs e ZIP na pasta da execução; artefatos no MLflow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 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Execuções pai/filhas, parâmetros, métricas, modelos e artefatos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Engenharia de atributos testada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 propostos cinco atributos derivados, apresentados na Tabela 6. As razões são calculadas linha a linha, antes da divisão dos dados, sem risco de vazamento.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6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Atributos derivados pela engenharia de atributos</w:t>
      </w:r>
      <w:r w:rsidDel="00000000" w:rsidR="00000000" w:rsidRPr="00000000">
        <w:rPr>
          <w:rtl w:val="0"/>
        </w:rPr>
      </w:r>
    </w:p>
    <w:tbl>
      <w:tblPr>
        <w:tblStyle w:val="Table7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00"/>
        <w:gridCol w:w="3906"/>
        <w:gridCol w:w="3000"/>
        <w:tblGridChange w:id="0">
          <w:tblGrid>
            <w:gridCol w:w="2500"/>
            <w:gridCol w:w="3906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Atributo derivado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FC_pct_teorica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left"/>
              <w:rPr/>
            </w:pPr>
            <w:sdt>
              <w:sdtPr>
                <w:id w:val="-80810228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iCs w:val="1"/>
                    <w:sz w:val="20"/>
                    <w:szCs w:val="20"/>
                    <w:rtl w:val="0"/>
                  </w:rPr>
                  <w:t xml:space="preserve">MaxHR / (220 − Age)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da FC máxima teórica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Chol_por_Idade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Cholesterol /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Colesterol relativo à 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BP_por_Idade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RestingBP /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Pressão relativa à 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Oldpeak_por_FC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Oldpeak / MaxHR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Depressão ST por batimento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Angina_x_Oldpeak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(ExerciseAngina == 'Y') × Oldpeak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Interação angina × 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Busca em grade e hiperparâmetros selecionados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7 apresenta os hiperparâmetros selecionados pela busca em grade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grid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cada codificação.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7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Hiperparâmetros selecionados pela busca em grade</w:t>
      </w:r>
      <w:r w:rsidDel="00000000" w:rsidR="00000000" w:rsidRPr="00000000">
        <w:rPr>
          <w:rtl w:val="0"/>
        </w:rPr>
      </w:r>
    </w:p>
    <w:tbl>
      <w:tblPr>
        <w:tblStyle w:val="Table8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50"/>
        <w:gridCol w:w="1000"/>
        <w:gridCol w:w="1100"/>
        <w:gridCol w:w="950"/>
        <w:gridCol w:w="1000"/>
        <w:gridCol w:w="1150"/>
        <w:gridCol w:w="1550"/>
        <w:gridCol w:w="1606"/>
        <w:tblGridChange w:id="0">
          <w:tblGrid>
            <w:gridCol w:w="1050"/>
            <w:gridCol w:w="1000"/>
            <w:gridCol w:w="1100"/>
            <w:gridCol w:w="950"/>
            <w:gridCol w:w="1000"/>
            <w:gridCol w:w="1150"/>
            <w:gridCol w:w="1550"/>
            <w:gridCol w:w="1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Codificação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Imputação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class_weight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max_features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min_samples_leaf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min_samples_split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sqrt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ambas as codificações, a árvore selecionada é rasa, com profundidade 3. A busca avaliou 864 combinações por codificação (17.280 ajustes no total), tendo o F1 da classe 1 como critério de seleção.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1"/>
        <w:spacing w:after="60" w:before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Comparação entre as codificações one-hot e ordinal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8 compara o desempenho das duas codificações no conjunto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8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Desempenho das codificações one-hot e ordinal no conjunto de teste</w:t>
      </w:r>
      <w:r w:rsidDel="00000000" w:rsidR="00000000" w:rsidRPr="00000000">
        <w:rPr>
          <w:rtl w:val="0"/>
        </w:rPr>
      </w:r>
    </w:p>
    <w:tbl>
      <w:tblPr>
        <w:tblStyle w:val="Table9"/>
        <w:tblW w:w="905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0"/>
        <w:gridCol w:w="860"/>
        <w:gridCol w:w="830"/>
        <w:gridCol w:w="830"/>
        <w:gridCol w:w="830"/>
        <w:gridCol w:w="830"/>
        <w:gridCol w:w="830"/>
        <w:gridCol w:w="830"/>
        <w:gridCol w:w="900"/>
        <w:gridCol w:w="1316"/>
        <w:tblGridChange w:id="0">
          <w:tblGrid>
            <w:gridCol w:w="1000"/>
            <w:gridCol w:w="860"/>
            <w:gridCol w:w="830"/>
            <w:gridCol w:w="830"/>
            <w:gridCol w:w="830"/>
            <w:gridCol w:w="830"/>
            <w:gridCol w:w="830"/>
            <w:gridCol w:w="830"/>
            <w:gridCol w:w="900"/>
            <w:gridCol w:w="131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Codificação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Prec_c0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Rec_c0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F1_c0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Prec_c1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Rec_c1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F1_c1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IC95 F1_c1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0,8098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0,8406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0,7073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0,7682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0,7913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0,8922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0,8035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0,7817–0,8879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0,8207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0,7692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0,8537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0,8092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0,8710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0,7941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0,8308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0,8200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0,7650–0,8865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 Nota: valores em negrito indicam o melhor resultado de cada métrica.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codificação ordinal obteve maiores F1_c1 e revocação da classe 1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recall_c1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o que a torna preferível para evitar que pacientes doentes fiquem sem diagnóstico. Por sua vez, a codificação one-hot apresentou maiores acurácia, precisão da classe 1 e F1_macro. Como os intervalos de confiança do F1_c1 se sobrepõem, a diferença entre as codificações não é conclusiva.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Referência (baseline) da classe majoritária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classificador ingênuo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DummyClassifier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estratégia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most_frequent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prediz sempre a classe 1. Seus resultados constam na Tabela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9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Desempenho do classificador de referência (classe majoritária)</w:t>
      </w:r>
      <w:r w:rsidDel="00000000" w:rsidR="00000000" w:rsidRPr="00000000">
        <w:rPr>
          <w:rtl w:val="0"/>
        </w:rPr>
      </w:r>
    </w:p>
    <w:tbl>
      <w:tblPr>
        <w:tblStyle w:val="Table10"/>
        <w:tblW w:w="60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2500"/>
        <w:tblGridChange w:id="0">
          <w:tblGrid>
            <w:gridCol w:w="3500"/>
            <w:gridCol w:w="2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Precisão_c1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Recall_c1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F1_c1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0,7133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F1_c0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0,3566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 seja, classificar todos os pacientes na classe majoritária já resulta em F1_c1 = 0,71; portanto, o modelo precisa superar essa referência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que de fato ocorre (0,8387 com a codificação ordinal). A referência não produz falsos negativos da classe 1 (revocação da classe 1 igual a 1), mas gera 82 falsos positivos, uma vez que erra toda a classe 0. Esse resultado evidencia por que a acurácia, analisada isoladamente, pode ser enganosa.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 Ablação de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análise de ablação (seleção de variáveis), cada atributo foi removido individualmente, mantendo-se os melhores hiperparâmetros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class_weight=None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Os resultados são apresentados na Tabela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10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Resultados da ablação de atributos</w:t>
      </w:r>
      <w:r w:rsidDel="00000000" w:rsidR="00000000" w:rsidRPr="00000000">
        <w:rPr>
          <w:rtl w:val="0"/>
        </w:rPr>
      </w:r>
    </w:p>
    <w:tbl>
      <w:tblPr>
        <w:tblStyle w:val="Table11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06"/>
        <w:gridCol w:w="2000"/>
        <w:gridCol w:w="1250"/>
        <w:gridCol w:w="1250"/>
        <w:gridCol w:w="1300"/>
        <w:gridCol w:w="1300"/>
        <w:tblGridChange w:id="0">
          <w:tblGrid>
            <w:gridCol w:w="2306"/>
            <w:gridCol w:w="2000"/>
            <w:gridCol w:w="1250"/>
            <w:gridCol w:w="1250"/>
            <w:gridCol w:w="1300"/>
            <w:gridCol w:w="1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Atributo removido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sem_RestingBP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RestingBP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sem_Cholesterol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Cholesterol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sem_FastingBS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FastingBS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0,8149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sem_ExerciseAngina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ExerciseAngina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0,7988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sem_ST_Slope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ST_Slope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0,7897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0,7764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sem_MaxHR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MaxHR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0,6933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0,7412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sem_ChestPainType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ChestPainType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sem_RestingECG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RestingECG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sem_Oldpeak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Oldpeak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0,7360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Nenhuma remoção melhorou o F1_c1, de modo que o conjunto completo de atributos apresenta o melhor resultado (0,8387). A remoção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RestingBP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FastingBS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melhora a acurácia (0,8207), o F1_c0 (0,8136) e o F1_macro (0,8204), mas reduz a revocação e o F1 da classe 1, o que caracteriza um compromisso entre as classes. Já a remoção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ST_Slope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MaxHR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piora o F1_c1, indicando que esses atributos são informativos. A exclusão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ChestPainType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RestingECG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Oldpeak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reduz o F1_c1 para 0,7647, pois a árvore passa a adotar outro caminho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Conclui-se que, para maximizar o F1_c1, todos os atributos devem ser mantidos; por outro lado, para equilibrar o desempenho entre as classes (F1_macro), a remoção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RestingBP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FastingBS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constitui uma alternativa.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4.5 Engenharia de atributos (razões e interações clínicas)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11 compara o desempenho do modelo sem e com os atributos derivados.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11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Comparação do modelo sem e com engenharia de atributos</w:t>
      </w:r>
      <w:r w:rsidDel="00000000" w:rsidR="00000000" w:rsidRPr="00000000">
        <w:rPr>
          <w:rtl w:val="0"/>
        </w:rPr>
      </w:r>
    </w:p>
    <w:tbl>
      <w:tblPr>
        <w:tblStyle w:val="Table12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06"/>
        <w:gridCol w:w="1300"/>
        <w:gridCol w:w="1220"/>
        <w:gridCol w:w="1220"/>
        <w:gridCol w:w="1220"/>
        <w:gridCol w:w="1220"/>
        <w:gridCol w:w="1220"/>
        <w:tblGridChange w:id="0">
          <w:tblGrid>
            <w:gridCol w:w="2006"/>
            <w:gridCol w:w="1300"/>
            <w:gridCol w:w="1220"/>
            <w:gridCol w:w="1220"/>
            <w:gridCol w:w="1220"/>
            <w:gridCol w:w="1220"/>
            <w:gridCol w:w="12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Nº de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sem_engenharia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0,8604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com_engenharia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0,7838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0,7946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conjunto de teste, observou-se melhora de +0,0158 no F1_c1 (de 0,8387 para 0,8545), de +0,0294 na revocação da classe 1 (de 0,8922 para 0,9216), de +0,0163 na acurácia e de +0,0157 no F1_macro.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Há, contudo, uma limitação importante: o F1 obtido na validação cruzada apresentou redução (de 0,8604 para 0,7946). Assim, a melhora observada no conjunto de teste não é confirmada pela CV e pode decorrer da divisão específica dos dados (184 amostras). A engenharia de atributos deve, portanto, ser considerada promissora, porém não conclusiva, até que haja validação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4.6 Matrizes de confusão e o erro de maior gravidade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12 apresenta os elementos das matrizes de confusão obtidas no conjunto de teste, composto por 184 pacientes (82 da classe 0 e 102 da classe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12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Elementos das matrizes de confusão no conjunto de teste</w:t>
      </w:r>
      <w:r w:rsidDel="00000000" w:rsidR="00000000" w:rsidRPr="00000000">
        <w:rPr>
          <w:rtl w:val="0"/>
        </w:rPr>
      </w:r>
    </w:p>
    <w:tbl>
      <w:tblPr>
        <w:tblStyle w:val="Table13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06"/>
        <w:gridCol w:w="800"/>
        <w:gridCol w:w="800"/>
        <w:gridCol w:w="1300"/>
        <w:gridCol w:w="800"/>
        <w:gridCol w:w="1300"/>
        <w:gridCol w:w="1250"/>
        <w:gridCol w:w="1250"/>
        <w:tblGridChange w:id="0">
          <w:tblGrid>
            <w:gridCol w:w="1906"/>
            <w:gridCol w:w="800"/>
            <w:gridCol w:w="800"/>
            <w:gridCol w:w="1300"/>
            <w:gridCol w:w="800"/>
            <w:gridCol w:w="1300"/>
            <w:gridCol w:w="1250"/>
            <w:gridCol w:w="12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FN (classe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Recall_c1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com_engenharia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0,9216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0,7946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0,8604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Figura 1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Matriz de confusão do modelo com engenharia de atributos (melhor resultado no teste para triagem)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00400" cy="2800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a partir da execução do notebook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Figura 2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Matriz de confusão do modelo com codificação ordinal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00400" cy="28003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a partir da execução do notebook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Figura 3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Matriz de confusão do modelo com codificação one-hot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spacing w:after="0" w:before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00400" cy="28003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a partir da execução do notebook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erro de maior gravidade clínica é o falso negativo da classe 1, ou seja, o paciente doente previsto como “não doente”. No conjunto de teste, o modelo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com_engenharia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o mais adequado para triagem: apresenta 8 falsos negativos, contra 11 do ordinal e 21 do one-hot, com o mesmo número de falsos positivos (24) e o maior F1_c1 (0,8545).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limitação, o F1 da CV desse modelo apresentou redução (0,7946, ante 0,8604 do ordinal); logo, a melhora no teste não é confirmada pela CV e pode refletir a variância do conjunto de teste reservado. Os dois modelos mais indicados para triagem são, portanto,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com_engenharia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o ordinal (com 8 e 11 falsos negativos, respectivamente). A escolha entre eles envolve um compromisso entre o desempenho no teste e a robustez na CV, e exige validação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1"/>
        <w:spacing w:after="60" w:before="12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4.7 Síntese das transformações e impacto nas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Tabela 13 resume as principais transformações de preparação dos dados e seus efeitos sobre as métricas, indicando melhora ou piora.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13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Síntese das transformações e de seu impacto nas métricas</w:t>
      </w:r>
      <w:r w:rsidDel="00000000" w:rsidR="00000000" w:rsidRPr="00000000">
        <w:rPr>
          <w:rtl w:val="0"/>
        </w:rPr>
      </w:r>
    </w:p>
    <w:tbl>
      <w:tblPr>
        <w:tblStyle w:val="Table14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00"/>
        <w:gridCol w:w="1600"/>
        <w:gridCol w:w="1700"/>
        <w:gridCol w:w="2706"/>
        <w:tblGridChange w:id="0">
          <w:tblGrid>
            <w:gridCol w:w="3400"/>
            <w:gridCol w:w="1600"/>
            <w:gridCol w:w="1700"/>
            <w:gridCol w:w="27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left"/>
              <w:rPr/>
            </w:pPr>
            <w:sdt>
              <w:sdtPr>
                <w:id w:val="921188152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9"/>
                    <w:szCs w:val="19"/>
                    <w:rtl w:val="0"/>
                  </w:rPr>
                  <w:t xml:space="preserve">Codificação one-hot → ordinal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F1_c1 0,8308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Ganho no F1_c1 e na revocação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Imputação (mediana × moda)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Escolhida pela 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class_weight=balanced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jc w:val="center"/>
              <w:rPr/>
            </w:pPr>
            <w:sdt>
              <w:sdtPr>
                <w:id w:val="-1398201977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9"/>
                    <w:szCs w:val="19"/>
                    <w:rtl w:val="0"/>
                  </w:rPr>
                  <w:t xml:space="preserve">≈ igual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center"/>
              <w:rPr/>
            </w:pPr>
            <w:sdt>
              <w:sdtPr>
                <w:id w:val="-54158788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9"/>
                    <w:szCs w:val="19"/>
                    <w:rtl w:val="0"/>
                  </w:rPr>
                  <w:t xml:space="preserve">≈ igual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Sem efeito (desbalanceamento leve)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Escalonamento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StandardScaler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Idêntico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Idêntico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Invariante (árvore)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Remoção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RestingBP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Cholesterol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FastingBS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F1_c1 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Piora o F1_c1; melhora o F1_macro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Remoção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ST_Slope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MaxHR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F1_c1 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0,7897 / 0,7890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Piora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Engenharia de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F1_c1 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0,8545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Melhora no teste; redução na 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Variação de hiperparâmetros one-hot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max_depth=4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min_samples_leaf=10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F1 0,8308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Piora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MLflow: registro e tabulação dos experimentos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os experimentos foram registrados no MLflow, no experimento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heart_failure_arvore_decisao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rastreamento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tracking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local em SQLite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mlflow.db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artefatos armazenados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mlruns/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Ao todo, foram registradas 111 execuções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runs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entre execuções pai e filhas.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execução armazena: (i) os parâmetros — codificação, imputação, hiperparâmetros, atributo removido, engenharia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class_weight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(ii) as métricas — F1, acurácia, precisão, revocação, F1 macro e IC 95%; (iii) o modelo, por meio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mlflow.sklearn.log_model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e (iv) os artefatos — CSVs, JSON, PNGs e ZIP. A tabela completa encontra-se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docs/mlflow_runs.csv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exportada via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mlflow.search_runs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contém as colunas de execução, status, data, parâmetros e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execuções principais são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arvore_onehot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arvore_ordinal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baseline_classe_majoritaria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ablacao_atributos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(com 12 execuções filhas),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engenharia_features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sem_engenharia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com_engenharia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relatorio_artefatos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Avaliação comparativa entre execuções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14 registra a evolução do experimento ao longo das execuções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14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Evolução das execuções do experimento</w:t>
      </w:r>
      <w:r w:rsidDel="00000000" w:rsidR="00000000" w:rsidRPr="00000000">
        <w:rPr>
          <w:rtl w:val="0"/>
        </w:rPr>
      </w:r>
    </w:p>
    <w:tbl>
      <w:tblPr>
        <w:tblStyle w:val="Table15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56"/>
        <w:gridCol w:w="2900"/>
        <w:gridCol w:w="1650"/>
        <w:gridCol w:w="1300"/>
        <w:gridCol w:w="1800"/>
        <w:tblGridChange w:id="0">
          <w:tblGrid>
            <w:gridCol w:w="1756"/>
            <w:gridCol w:w="2900"/>
            <w:gridCol w:w="1650"/>
            <w:gridCol w:w="1300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O que mudou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Melhor F1_c1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F1_macro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20261022_081800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Versão inicial: one-hot × ordinal +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Referência (somente classe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20261022_083734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Inclusão da ablação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class_weight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None/balanced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balanced</w:t>
            </w:r>
            <w:sdt>
              <w:sdtPr>
                <w:id w:val="-2107831952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9"/>
                    <w:szCs w:val="19"/>
                    <w:rtl w:val="0"/>
                  </w:rPr>
                  <w:t xml:space="preserve"> ≈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20261022_090449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Ablação simplificada (sem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balanced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Foco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20261022_093147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Inclusão da engenharia de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0,8545 (com)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0,8192 (com)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Melhora no teste; redução na 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20261022_094826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Variação de hiperparâmetros one-hot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max_depth=4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min_samples_leaf=10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0,8119 (one-hot)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Piora no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20261026_075517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Métricas para as duas classes (versão 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0,8387 (ordinal) / 0,8545 (com eng.)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0,8035 / 0,8192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Versão consolidada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 evolução das execuções, destacam-se cinco considerações. Primeiro, os hiperparâmetros escolhidos pela grade mantiveram-se estáveis (profundidade 3), exceto na variação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094826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piorou o desempenho no teste. Segundo, a engenharia de atributos foi a única mudança que melhorou o resultado no conjunto de teste (F1_c1 de 0,8387 para 0,8545), mas apresentou redução na CV (de 0,8604 para 0,7946), o que caracteriza um ganho não robusto. Terceiro, a ablação mostrou que remover atributos não melhora o F1_c1, apenas o F1_macro, ao custo da revocação da classe 1. Quarto,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class_weight='balanced'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não teve efeito relevante, o que é coerente com o desbalanceamento leve das classes (55/45). Por fim, a adoção de métricas para ambas as classes alterou a interpretação dos resultados: o modelo que parecia “melhor” considerando apenas a classe 1 nem sempre é o melhor em termos de F1_macro.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Discussão e trabalhos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15 relaciona os trabalhos da literatura que fundamentam as escolhas deste estudo.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1"/>
        <w:spacing w:after="8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Tabela 15 –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Trabalhos relacionados e sua relação com este estudo</w:t>
      </w:r>
      <w:r w:rsidDel="00000000" w:rsidR="00000000" w:rsidRPr="00000000">
        <w:rPr>
          <w:rtl w:val="0"/>
        </w:rPr>
      </w:r>
    </w:p>
    <w:tbl>
      <w:tblPr>
        <w:tblStyle w:val="Table16"/>
        <w:tblW w:w="94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06"/>
        <w:gridCol w:w="3300"/>
        <w:gridCol w:w="3100"/>
        <w:tblGridChange w:id="0">
          <w:tblGrid>
            <w:gridCol w:w="3006"/>
            <w:gridCol w:w="3300"/>
            <w:gridCol w:w="3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Contribuição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Relação com este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Qadri et al. (2023),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IEEE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Técnica de engenharia de atributos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feature engineering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) para predição de doença cardíaca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Justifica a criação de atributos derivados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Abass et al. (2025), Springer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Compara LR, SVM, KNN, DT e RF com engenharia de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Reforça a engenharia como etapa do processo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Gárate-Escamilla et al. (2020),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Informatics in Medicine Unlocked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Seleção de atributos + 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Compara seleção e transformação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Hasnat et al. (2025), arXiv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Engenharia de atributos + SHAP + árvores substitutas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Interpretabilidade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Page et al. (1970),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Circulation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Idade e colesterol total como preditores de 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Fundamenta idade e colesterol; a razão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Chol_por_Idade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é proposta deste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Folsom et al. (2003),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Diabetes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Fatores de risco para 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Contexto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Detrano et al. (1989) / Janosi et al. (1988)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Base UCI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Heart 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Origem dos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Fox et al. (1971)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jc w:val="left"/>
              <w:rPr/>
            </w:pPr>
            <w:sdt>
              <w:sdtPr>
                <w:id w:val="-1420093301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9"/>
                    <w:szCs w:val="19"/>
                    <w:rtl w:val="0"/>
                  </w:rPr>
                  <w:t xml:space="preserve">Fórmula FCmax ≈ 220 − idade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 xml:space="preserve">FC_pct_teorica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240" w:before="6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variáveis originais utilizadas nas razões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MaxHR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Oldpeak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RestingBP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ExerciseAngina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são indicadores clínicos consolidados. As razões propostas buscam normalizar essas medidas pela idade ou pela frequência cardíaca e capturar interações (angina × depressão do segmento ST), o que auxilia a árvore a representar relações “diagonais” com menos cortes. A literatura apoia o uso de engenharia de atributos na predição de doença cardíaca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contudo, as razões específicas aqui testadas constituem hipóteses exploratórias e requerem validação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particular, Page et al. (1970) fundamentam a idade e o colesterol total como preditores de DAC, mas não propõem a razão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Chol_por_Idade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é uma proposta deste trabalho. Além disso, a base do Kaggle não contém triglicerídeos e apresenta 172 registros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tratados como valores ausentes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imputados dentro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Chol_por_Idade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depende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esses registros também recebem imputação no atributo derivado.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estudo apresenta as seguintes limitações: (i) a base é pequena (918 registros) e o conjunto de teste contém apenas 184 pacientes, o que resulta em intervalos de confiança largos; (ii) utilizou-se uma única árvore, sem métodos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ensemble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sem validação externa; (iii) a engenharia de atributos melhorou o desempenho no conjunto de teste, mas apresentou redução na CV, de modo que o ganho não é conclusivo; e (iv) não foram testados o ajuste de limiar de decisão, a técnica SMOTE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Synthetic Minority Over-sampling Technique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nem outros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Conclusão e 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conjunto de teste, o melhor modelo para triagem foi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com_engenharia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(codificação ordinal acrescida de cinco atributos derivados), com 8 falsos negativos, revocação da classe 1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recall_c1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de 0,9216 e F1_c1 de 0,8545, mantendo o mesmo número de falsos positivos (24) do modelo ordinal. Por outro lado, o modelo mais robusto na validação cruzada foi o ordinal sem engenharia, com F1_CV de 0,8604, ante 0,7946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com_engenharia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engenharia de atributos melhorou o desempenho no conjunto de teste, mas não teve o ganho confirmado pela CV, devendo ser tratada como promissora, porém não conclusiva. Quanto à ablação, a manutenção de todos os atributos maximiza o F1_c1, ao passo que a remoção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RestingBP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Cholesterol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FastingBS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melhora o F1_macro, mas aumenta o risco de falso negativo da classe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recomendação clínica, sugere-se, para fins de triagem, priorizar a revocação e o F1 da classe 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adotando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com_engenharia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base no desempenho no teste e o ordinal como alternativa </w:t>
      </w:r>
      <w:r w:rsidDel="00000000" w:rsidR="00000000" w:rsidRPr="00000000">
        <w:rPr>
          <w:rtl w:val="0"/>
        </w:rPr>
        <w:t xml:space="preserve">com maior segurança nos testes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avaliar o ajuste do limiar de decisão e validar o modelo em base externa antes de qualquer uso real. Por fim, as 111 execuções registradas no MLflow permitem reproduzir e comparar todos os experimentos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1"/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FEDESORIANO.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Heart Failure Prediction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Kaggle, 2021. Disponível em: https://www.kaggle.com/datasets/fedesoriano/heart-failure-prediction.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[2] DETRANO, R. et al. International application of a new probability algorithm for the diagnosis of coronary artery disease.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American Journal of Cardiology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1989.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[3] JANOSI, A.; STEINBRUNN, W.; PFISTERER, M.; DETRANO, 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Heart Disease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UCI Machine Learning Repository, 1988.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[4] QADRI, A. M. et al. Effective Feature Engineering Technique for Heart Disease Prediction With Machine Learning.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IEEE Access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[5] ABASS, A.; BATHLA, G.; WASSON, V. Heart Disease Prediction Using Machine Learning with Feature Engineering. In: Soft Computing and Signal Processing (ICSCSP 2024).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Lecture Notes in Networks and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v. 1221. Springer, 2025, p. 697–709. DOI: https://doi.org/10.1007/978-981-96-0924-6_55.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[6] GÁRATE-ESCAMILLA, A. K.; HAJJAM EL HASSANI, A.; ANDRÈS, E. Classification models for heart disease prediction using feature selection and PCA.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Informatics in Medicine Unlocked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[7] HASNAT, M. A. et al. Interpretable Heart Disease Prediction via a Weighted Ensemble Model.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arXiv:2511.01947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[8] PAGE, I. H. et al. Prediction of Coronary Heart Disease Based on Clinical Suspicion, Age, Total Cholesterol, and Triglyceride.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Circulation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v. 42, n. 4, p. 625–645, 1970. DOI: https://doi.org/10.1161/01.cir.42.4.625.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[9] FOLSOM, A. R. et al. Prediction of Coronary Heart Disease in Middle-Aged Adults With Diabetes.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Diabetes Care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[10] FOX, S. M.; NAUGHTON, J. P.; HASKELL, W. L. Physical activity and the prevention of coronary heart disease.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Annals of Clinical 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1971.</w:t>
      </w: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5840" w:w="12240" w:orient="portrait"/>
      <w:pgMar w:bottom="1417" w:top="1417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after="60" w:before="12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fedesoriano/heart-failure-prediction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zVDVLPR24XDHO5OB3L0OfJgaw==">CgMxLjAaJQoBMBIgCh4IB0IaCg9UaW1lcyBOZXcgUm9tYW4SB0d1bmdzdWgaJQoBMRIgCh4IB0IaCg9UaW1lcyBOZXcgUm9tYW4SB0d1bmdzdWgaIwoBMhIeChwIB0IYCg9UaW1lcyBOZXcgUm9tYW4SBUNhcmRvGiUKATMSIAoeCAdCGgoPVGltZXMgTmV3IFJvbWFuEgdHdW5nc3VoGiUKATQSIAoeCAdCGgoPVGltZXMgTmV3IFJvbWFuEgdHdW5nc3VoGiUKATUSIAoeCAdCGgoPVGltZXMgTmV3IFJvbWFuEgdHdW5nc3VoGiUKATYSIAoeCAdCGgoPVGltZXMgTmV3IFJvbWFuEgdHdW5nc3VoOAByITF1Z0hCdUlmWTlPMFpsSXJPQ2ltbWNLa1NkaFRvaU5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2026-10-26T13:19:02.356Z</dcterms:created>
  <dc:creator>Arthur Bohn; Diego Cordeiro; Keoma Coelho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