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UNIVERSIDADE FEDERAL DO PIAUÍ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 DE PÓS-GRADUAÇÃO EM CIÊNCIA DA COMPUTAÇÃO</w:t>
      </w:r>
    </w:p>
    <w:p>
      <w:pPr>
        <w:spacing w:after="480" w:before="0" w:line="360"/>
      </w:pPr>
    </w:p>
    <w:p>
      <w:pPr>
        <w:spacing w:after="480" w:before="0" w:line="360"/>
      </w:pP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Disciplina: Aprendizado de Máquina</w:t>
      </w:r>
    </w:p>
    <w:p>
      <w:pPr>
        <w:spacing w:after="480" w:before="0" w:line="360"/>
      </w:pP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Predição de Doença Cardíaca com Random Forest: comparação com a Árvore de Decisão</w:t>
      </w:r>
    </w:p>
    <w:p>
      <w:pPr>
        <w:spacing w:after="480" w:before="0" w:line="360"/>
      </w:pP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Integrantes: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Arthur Fernando Elvas Bohn (20261001997)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Diego Cordeiro de Oliveira (20261002180)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Keoma de Sousa Coelho (20261004952)</w:t>
      </w:r>
    </w:p>
    <w:p>
      <w:pPr>
        <w:spacing w:after="120" w:before="0" w:line="360"/>
      </w:pP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Professor: Dr. Vinicius Ponte Machado</w:t>
      </w:r>
    </w:p>
    <w:p>
      <w:pPr>
        <w:spacing w:after="720" w:before="0" w:line="360"/>
      </w:pPr>
    </w:p>
    <w:p>
      <w:pPr>
        <w:spacing w:after="720" w:before="0" w:line="36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Teresina, 30 de outubro de 2026</w:t>
      </w:r>
    </w:p>
    <w:p>
      <w:pPr>
        <w:sectPr>
          <w:pgSz w:w="12240" w:h="15840" w:orient="portrait"/>
          <w:pgMar w:top="1417" w:right="1417" w:bottom="1417" w:left="1417" w:header="720" w:footer="720" w:gutter="0"/>
          <w:pgNumType/>
          <w:docGrid w:linePitch="360"/>
        </w:sectPr>
      </w:pP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LISTA DE ABREVIATURAS E SIGLAS</w:t>
      </w:r>
    </w:p>
    <w:tbl>
      <w:tblPr>
        <w:tblW w:type="dxa" w:w="94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40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BP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Pressão arterial (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Blood Pressure</w:t>
            </w:r>
            <w:r>
              <w:rPr>
                <w:rFonts w:ascii="Times New Roman" w:cs="Times New Roman" w:eastAsia="Times New Roman" w:hAnsi="Times New Roman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CV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Validação cruzada (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Cross-Validation</w:t>
            </w:r>
            <w:r>
              <w:rPr>
                <w:rFonts w:ascii="Times New Roman" w:cs="Times New Roman" w:eastAsia="Times New Roman" w:hAnsi="Times New Roman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DAC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Doença arterial coronariana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ECG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Eletrocardiograma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F1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Média harmônica entre precisão e revocação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FC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Frequência cardíaca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FN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Falso negativo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FP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Falso positivo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HR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Frequência cardíaca (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Heart Rate</w:t>
            </w:r>
            <w:r>
              <w:rPr>
                <w:rFonts w:ascii="Times New Roman" w:cs="Times New Roman" w:eastAsia="Times New Roman" w:hAnsi="Times New Roman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IC 95%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Intervalo de confiança de 95%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LVH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Hipertrofia ventricular esquerda (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Left Ventricular Hypertrophy</w:t>
            </w:r>
            <w:r>
              <w:rPr>
                <w:rFonts w:ascii="Times New Roman" w:cs="Times New Roman" w:eastAsia="Times New Roman" w:hAnsi="Times New Roman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M/F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Masculino/feminino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MLflow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Plataforma de rastreamento de experimentos de aprendizado de máquina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OOB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Out-of-bag</w:t>
            </w:r>
            <w:r>
              <w:rPr>
                <w:rFonts w:ascii="Times New Roman" w:cs="Times New Roman" w:eastAsia="Times New Roman" w:hAnsi="Times New Roman"/>
              </w:rPr>
              <w:t xml:space="preserve"> (amostras não sorteadas no 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bootstrap</w:t>
            </w:r>
            <w:r>
              <w:rPr>
                <w:rFonts w:ascii="Times New Roman" w:cs="Times New Roman" w:eastAsia="Times New Roman" w:hAnsi="Times New Roman"/>
              </w:rPr>
              <w:t xml:space="preserve"> de cada árvore)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PCA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Análise de Componentes Principais (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Principal Component Analysis</w:t>
            </w:r>
            <w:r>
              <w:rPr>
                <w:rFonts w:ascii="Times New Roman" w:cs="Times New Roman" w:eastAsia="Times New Roman" w:hAnsi="Times New Roman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PPGCC/UFPI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Programa de Pós-Graduação em Ciência da Computação da Universidade Federal do Piauí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Prec. / Rec.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Precisão / revocação (</w:t>
            </w: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recall</w:t>
            </w:r>
            <w:r>
              <w:rPr>
                <w:rFonts w:ascii="Times New Roman" w:cs="Times New Roman" w:eastAsia="Times New Roman" w:hAnsi="Times New Roman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RF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Random Forest</w:t>
            </w:r>
            <w:r>
              <w:rPr>
                <w:rFonts w:ascii="Times New Roman" w:cs="Times New Roman" w:eastAsia="Times New Roman" w:hAnsi="Times New Roman"/>
              </w:rPr>
              <w:t xml:space="preserve"> (floresta aleatória)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SHAP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SHapley Additive exPlanations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SMOTE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Synthetic Minority Over-sampling Technique</w:t>
            </w:r>
            <w:r>
              <w:rPr>
                <w:rFonts w:ascii="Times New Roman" w:cs="Times New Roman" w:eastAsia="Times New Roman" w:hAnsi="Times New Roman"/>
              </w:rPr>
              <w:t xml:space="preserve"> (sobreamostragem sintética)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SQLite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Banco de dados relacional leve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ST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Segmento ST do eletrocardiograma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TA/ATA/NAP/ASY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Angina típica / angina atípica / dor não anginosa / assintomático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TN / TP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Verdadeiro negativo / verdadeiro positivo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UCI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 xml:space="preserve">University of California, Irvine</w:t>
            </w:r>
            <w:r>
              <w:rPr>
                <w:rFonts w:ascii="Times New Roman" w:cs="Times New Roman" w:eastAsia="Times New Roman" w:hAnsi="Times New Roman"/>
              </w:rPr>
              <w:t xml:space="preserve"> (repositório de conjuntos de dados)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Y/N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</w:tcPr>
          <w:p>
            <w:pPr>
              <w:spacing w:after="0" w:before="0" w:line="360"/>
            </w:pPr>
            <w:r>
              <w:rPr>
                <w:rFonts w:ascii="Times New Roman" w:cs="Times New Roman" w:eastAsia="Times New Roman" w:hAnsi="Times New Roman"/>
              </w:rPr>
              <w:t xml:space="preserve">Sim/não</w:t>
            </w:r>
          </w:p>
        </w:tc>
      </w:tr>
    </w:tbl>
    <w:p>
      <w:pPr>
        <w:sectPr>
          <w:pgSz w:w="12240" w:h="15840" w:orient="portrait"/>
          <w:pgMar w:top="1417" w:right="1417" w:bottom="1417" w:left="1417" w:header="720" w:footer="720" w:gutter="0"/>
          <w:pgNumType/>
          <w:docGrid w:linePitch="360"/>
        </w:sectPr>
      </w:pP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 e problema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Base de dados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Origem e descrição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Dicionário de atributos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Distribuição e qualidade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2.4 Estatísticas descritivas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Metodologia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6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Fluxo de processamento (pipeline)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Validação e seleção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 Fases do notebook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7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 Engenharia de atributos testada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 Recursos específicos do Random Forest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Resultados do Random Forest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8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Busca em grade e hiperparâmetros selecionados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Comparação entre as codificações one-hot e ordinal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Referência (baseline) da classe majoritária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Ablação de atributos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4.5 Engenharia de atributos (razões e interações clínicas)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11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4.6 Matrizes de confusão e o erro de maior gravidade clínica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11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4.7 Sensibilidade ao número de árvores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13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4.8 Importância das variáveis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14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Comparação Random Forest × Árvore de Decisão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18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 Visão geral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18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 Validação cruzada × teste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19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 Intervalos de confiança de 95% (F1 da classe 1)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19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5.4 Ablação comparada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20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5.5 Leitura crítica: por que a floresta vence e o que isso custa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21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MLflow: registro e comparação dos experimentos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21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Discussão e trabalhos relacionados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22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 Conclusão e recomendações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24</w:t>
      </w:r>
    </w:p>
    <w:p>
      <w:pPr>
        <w:tabs>
          <w:tab w:val="right" w:pos="9406" w:leader="dot"/>
        </w:tabs>
        <w:spacing w:after="0" w:before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24</w:t>
      </w:r>
    </w:p>
    <w:p>
      <w:pPr>
        <w:sectPr>
          <w:pgSz w:w="12240" w:h="15840" w:orient="portrait"/>
          <w:pgMar w:top="1417" w:right="1417" w:bottom="1417" w:left="1417" w:header="720" w:footer="720" w:gutter="0"/>
          <w:pgNumType/>
          <w:docGrid w:linePitch="360"/>
        </w:sectPr>
      </w:pP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 e problema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As doenças cardiovasculares figuram entre as principais causas de morte no mundo. Um modelo de triagem capaz de identificar pacientes com maior probabilidade de doença cardíaca pode apoiar a priorização de exames e reduzir o tempo até o início do tratamento. O problema é formulado como uma classificação binária, em que a classe 1 corresponde a pacientes com doença cardíaca (</w:t>
      </w:r>
      <w:r>
        <w:rPr>
          <w:rFonts w:ascii="Times New Roman" w:cs="Times New Roman" w:eastAsia="Times New Roman" w:hAnsi="Times New Roman"/>
          <w:i/>
          <w:iCs/>
        </w:rPr>
        <w:t xml:space="preserve">HeartDisease = 1</w:t>
      </w:r>
      <w:r>
        <w:rPr>
          <w:rFonts w:ascii="Times New Roman" w:cs="Times New Roman" w:eastAsia="Times New Roman" w:hAnsi="Times New Roman"/>
        </w:rPr>
        <w:t xml:space="preserve">) e a classe 0, a pacientes sem a doença (</w:t>
      </w:r>
      <w:r>
        <w:rPr>
          <w:rFonts w:ascii="Times New Roman" w:cs="Times New Roman" w:eastAsia="Times New Roman" w:hAnsi="Times New Roman"/>
          <w:i/>
          <w:iCs/>
        </w:rPr>
        <w:t xml:space="preserve">HeartDisease = 0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erro de maior gravidade clínica é o falso negativo da classe 1, isto é, classificar um paciente doente como “não doente”. Por esse motivo, além da acurácia, este trabalho dedica atenção especial à revocação (</w:t>
      </w:r>
      <w:r>
        <w:rPr>
          <w:rFonts w:ascii="Times New Roman" w:cs="Times New Roman" w:eastAsia="Times New Roman" w:hAnsi="Times New Roman"/>
          <w:i/>
          <w:iCs/>
        </w:rPr>
        <w:t xml:space="preserve">recall</w:t>
      </w:r>
      <w:r>
        <w:rPr>
          <w:rFonts w:ascii="Times New Roman" w:cs="Times New Roman" w:eastAsia="Times New Roman" w:hAnsi="Times New Roman"/>
        </w:rPr>
        <w:t xml:space="preserve">) e ao F1 da classe 1, bem como ao F1 macro, que equilibra o desempenho entre as duas classes.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objetivo deste trabalho é aplicar ao </w:t>
      </w:r>
      <w:r>
        <w:rPr>
          <w:rFonts w:ascii="Times New Roman" w:cs="Times New Roman" w:eastAsia="Times New Roman" w:hAnsi="Times New Roman"/>
          <w:i/>
          <w:iCs/>
        </w:rPr>
        <w:t xml:space="preserve">Random Forest</w:t>
      </w:r>
      <w:r>
        <w:rPr>
          <w:rFonts w:ascii="Times New Roman" w:cs="Times New Roman" w:eastAsia="Times New Roman" w:hAnsi="Times New Roman"/>
        </w:rPr>
        <w:t xml:space="preserve"> exatamente as mesmas estratégias já empregadas na Árvore de Decisão — tratamento dos dados, busca em grade, ablação e engenharia de atributos — e comparar as duas abordagens de forma reprodutível, com todos os experimentos registrados na plataforma MLflow.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comparação é justa porque ambas as abordagens utilizam a mesma divisão estratificada 80/20 (semente 42), a mesma validação cruzada (</w:t>
      </w:r>
      <w:r>
        <w:rPr>
          <w:rFonts w:ascii="Times New Roman" w:cs="Times New Roman" w:eastAsia="Times New Roman" w:hAnsi="Times New Roman"/>
          <w:i/>
          <w:iCs/>
        </w:rPr>
        <w:t xml:space="preserve">RepeatedStratifiedKFold</w:t>
      </w:r>
      <w:r>
        <w:rPr>
          <w:rFonts w:ascii="Times New Roman" w:cs="Times New Roman" w:eastAsia="Times New Roman" w:hAnsi="Times New Roman"/>
        </w:rPr>
        <w:t xml:space="preserve">, com cinco </w:t>
      </w:r>
      <w:r>
        <w:rPr>
          <w:rFonts w:ascii="Times New Roman" w:cs="Times New Roman" w:eastAsia="Times New Roman" w:hAnsi="Times New Roman"/>
          <w:i/>
          <w:iCs/>
        </w:rPr>
        <w:t xml:space="preserve">folds</w:t>
      </w:r>
      <w:r>
        <w:rPr>
          <w:rFonts w:ascii="Times New Roman" w:cs="Times New Roman" w:eastAsia="Times New Roman" w:hAnsi="Times New Roman"/>
        </w:rPr>
        <w:t xml:space="preserve"> e duas repetições), a mesma grade de hiperparâmetros (864 combinações por codificação) e as mesmas métricas. A única diferença reside no estimador: uma árvore única (</w:t>
      </w:r>
      <w:r>
        <w:rPr>
          <w:rFonts w:ascii="Times New Roman" w:cs="Times New Roman" w:eastAsia="Times New Roman" w:hAnsi="Times New Roman"/>
          <w:i/>
          <w:iCs/>
        </w:rPr>
        <w:t xml:space="preserve">DecisionTreeClassifier</w:t>
      </w:r>
      <w:r>
        <w:rPr>
          <w:rFonts w:ascii="Times New Roman" w:cs="Times New Roman" w:eastAsia="Times New Roman" w:hAnsi="Times New Roman"/>
        </w:rPr>
        <w:t xml:space="preserve">) contra uma floresta de 300 árvores (</w:t>
      </w:r>
      <w:r>
        <w:rPr>
          <w:rFonts w:ascii="Times New Roman" w:cs="Times New Roman" w:eastAsia="Times New Roman" w:hAnsi="Times New Roman"/>
          <w:i/>
          <w:iCs/>
        </w:rPr>
        <w:t xml:space="preserve">RandomForestClassifier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Base de dados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Origem e descrição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Utilizou-se a base </w:t>
      </w:r>
      <w:r>
        <w:rPr>
          <w:rFonts w:ascii="Times New Roman" w:cs="Times New Roman" w:eastAsia="Times New Roman" w:hAnsi="Times New Roman"/>
          <w:i/>
          <w:iCs/>
        </w:rPr>
        <w:t xml:space="preserve">Heart Failure Prediction</w:t>
      </w:r>
      <w:r>
        <w:rPr>
          <w:rFonts w:ascii="Times New Roman" w:cs="Times New Roman" w:eastAsia="Times New Roman" w:hAnsi="Times New Roman"/>
        </w:rPr>
        <w:t xml:space="preserve">, disponibilizada no Kaggle por fedesoriano (</w:t>
      </w:r>
      <w:hyperlink w:history="1" r:id="rIdywemzs9atwumpnlh-yl2f">
        <w:r>
          <w:rPr>
            <w:rFonts w:ascii="Times New Roman" w:cs="Times New Roman" w:eastAsia="Times New Roman" w:hAnsi="Times New Roman"/>
            <w:color w:val="1155CC"/>
            <w:u w:val="single"/>
          </w:rPr>
          <w:t xml:space="preserve">Heart Failure Prediction – Kaggle</w:t>
        </w:r>
      </w:hyperlink>
      <w:r>
        <w:rPr>
          <w:rFonts w:ascii="Times New Roman" w:cs="Times New Roman" w:eastAsia="Times New Roman" w:hAnsi="Times New Roman"/>
        </w:rPr>
        <w:t xml:space="preserve">), derivada da base UCI </w:t>
      </w:r>
      <w:r>
        <w:rPr>
          <w:rFonts w:ascii="Times New Roman" w:cs="Times New Roman" w:eastAsia="Times New Roman" w:hAnsi="Times New Roman"/>
          <w:i/>
          <w:iCs/>
        </w:rPr>
        <w:t xml:space="preserve">Heart Disease</w:t>
      </w:r>
      <w:r>
        <w:rPr>
          <w:rFonts w:ascii="Times New Roman" w:cs="Times New Roman" w:eastAsia="Times New Roman" w:hAnsi="Times New Roman"/>
        </w:rPr>
        <w:t xml:space="preserve"> (Detrano et al., 1989) e resultante da combinação de cinco bases clínicas: Cleveland, Hungria, Suíça, Long Beach VA e Statlog. O arquivo </w:t>
      </w:r>
      <w:r>
        <w:rPr>
          <w:rFonts w:ascii="Times New Roman" w:cs="Times New Roman" w:eastAsia="Times New Roman" w:hAnsi="Times New Roman"/>
          <w:i/>
          <w:iCs/>
        </w:rPr>
        <w:t xml:space="preserve">bases/heart.csv</w:t>
      </w:r>
      <w:r>
        <w:rPr>
          <w:rFonts w:ascii="Times New Roman" w:cs="Times New Roman" w:eastAsia="Times New Roman" w:hAnsi="Times New Roman"/>
        </w:rPr>
        <w:t xml:space="preserve"> contém 918 registros e 12 colunas, sendo 11 atributos preditores e a variável-alvo. Como a base é a mesma utilizada na etapa da Árvore de Decisão, esta seção é apresentada de forma resumida, e o foco do documento recai sobre a comparação dos resultados.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Dicionário de atributos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1 descreve os atributos da base, seus tipos e significados.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Dicionário de atributos da base de dados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1700"/>
        <w:gridCol w:w="530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3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Age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Numérico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Idade (anos)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Sex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Sexo (M/F)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ChestPainType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Tipo de dor no peito (TA, ATA, NAP, ASY)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RestingBP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Numérico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Pressão arterial em repouso (mm Hg)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Cholesterol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Numérico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Colesterol sérico (mm/dl)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FastingBS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Binário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Glicemia em jejum &gt; 120 mg/dl (1/0)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RestingECG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ECG em repouso (Normal, ST, LVH)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MaxHR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Numérico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Frequência cardíaca máxima atingida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ExerciseAngina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Angina induzida por exercício (Y/N)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Oldpeak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Numérico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Depressão do segmento ST induzida por exercício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ST_Slope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Inclinação do segmento ST no pico (Up/Flat/Down)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HeartDisease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Binário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Alvo: 1 = doença; 0 = normal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adaptado de fedesoriano (2021). Legenda: TA = angina típica; ATA = angina atípica; NAP = dor não anginosa; ASY = assintomático; M/F = masculino/feminino; Y/N = sim/não; ST = segmento ST do eletrocardiograma; LVH = hipertrofia ventricular esquerda.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Distribuição e qualidade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distribuição das classes é apresentada na Tabela 2. Observa-se um desbalanceamento leve, com a classe 1 sendo majoritária (55,34%).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2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Distribuição das classes da variável-alvo</w:t>
      </w:r>
    </w:p>
    <w:tbl>
      <w:tblPr>
        <w:tblW w:type="dxa" w:w="9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2900"/>
        <w:gridCol w:w="2900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2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Registros</w:t>
            </w:r>
          </w:p>
        </w:tc>
        <w:tc>
          <w:tcPr>
            <w:tcW w:type="dxa" w:w="2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Proporção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(com doença)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508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55,34%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(sem doença)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410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44,66%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918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Quanto à qualidade dos dados, não há valores ausentes (</w:t>
      </w:r>
      <w:r>
        <w:rPr>
          <w:rFonts w:ascii="Times New Roman" w:cs="Times New Roman" w:eastAsia="Times New Roman" w:hAnsi="Times New Roman"/>
          <w:i/>
          <w:iCs/>
        </w:rPr>
        <w:t xml:space="preserve">NaN</w:t>
      </w:r>
      <w:r>
        <w:rPr>
          <w:rFonts w:ascii="Times New Roman" w:cs="Times New Roman" w:eastAsia="Times New Roman" w:hAnsi="Times New Roman"/>
        </w:rPr>
        <w:t xml:space="preserve">) na base original. Entretanto, o atributo </w:t>
      </w:r>
      <w:r>
        <w:rPr>
          <w:rFonts w:ascii="Times New Roman" w:cs="Times New Roman" w:eastAsia="Times New Roman" w:hAnsi="Times New Roman"/>
          <w:i/>
          <w:iCs/>
        </w:rPr>
        <w:t xml:space="preserve">Cholesterol</w:t>
      </w:r>
      <w:r>
        <w:rPr>
          <w:rFonts w:ascii="Times New Roman" w:cs="Times New Roman" w:eastAsia="Times New Roman" w:hAnsi="Times New Roman"/>
        </w:rPr>
        <w:t xml:space="preserve"> apresenta 172 registros com valor zero e </w:t>
      </w:r>
      <w:r>
        <w:rPr>
          <w:rFonts w:ascii="Times New Roman" w:cs="Times New Roman" w:eastAsia="Times New Roman" w:hAnsi="Times New Roman"/>
          <w:i/>
          <w:iCs/>
        </w:rPr>
        <w:t xml:space="preserve">RestingBP</w:t>
      </w:r>
      <w:r>
        <w:rPr>
          <w:rFonts w:ascii="Times New Roman" w:cs="Times New Roman" w:eastAsia="Times New Roman" w:hAnsi="Times New Roman"/>
        </w:rPr>
        <w:t xml:space="preserve">, um registro, valores fisiologicamente implausíveis. Esses zeros são convertidos em </w:t>
      </w:r>
      <w:r>
        <w:rPr>
          <w:rFonts w:ascii="Times New Roman" w:cs="Times New Roman" w:eastAsia="Times New Roman" w:hAnsi="Times New Roman"/>
          <w:i/>
          <w:iCs/>
        </w:rPr>
        <w:t xml:space="preserve">NaN</w:t>
      </w:r>
      <w:r>
        <w:rPr>
          <w:rFonts w:ascii="Times New Roman" w:cs="Times New Roman" w:eastAsia="Times New Roman" w:hAnsi="Times New Roman"/>
        </w:rPr>
        <w:t xml:space="preserve"> e imputados dentro do </w:t>
      </w:r>
      <w:r>
        <w:rPr>
          <w:rFonts w:ascii="Times New Roman" w:cs="Times New Roman" w:eastAsia="Times New Roman" w:hAnsi="Times New Roman"/>
          <w:i/>
          <w:iCs/>
        </w:rPr>
        <w:t xml:space="preserve">pipeline</w:t>
      </w:r>
      <w:r>
        <w:rPr>
          <w:rFonts w:ascii="Times New Roman" w:cs="Times New Roman" w:eastAsia="Times New Roman" w:hAnsi="Times New Roman"/>
        </w:rPr>
        <w:t xml:space="preserve">, sem vazamento de informação. Não foram encontrados registros duplicados.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Os dados foram divididos de forma estratificada na proporção 80/20, resultando em 734 registros de treino e 184 de teste, dos quais 102 pertencem à classe 1 e 82 à classe 0.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Estatísticas descritivas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3 resume as estatísticas descritivas das variáveis numéricas.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3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Estatísticas descritivas das variáveis numéricas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6"/>
        <w:gridCol w:w="1450"/>
        <w:gridCol w:w="1450"/>
        <w:gridCol w:w="1450"/>
        <w:gridCol w:w="1450"/>
        <w:gridCol w:w="1450"/>
      </w:tblGrid>
      <w:tr>
        <w:trPr>
          <w:cantSplit/>
          <w:tblHeader/>
        </w:trPr>
        <w:tc>
          <w:tcPr>
            <w:tcW w:type="dxa" w:w="215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14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14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Desvio</w:t>
            </w:r>
          </w:p>
        </w:tc>
        <w:tc>
          <w:tcPr>
            <w:tcW w:type="dxa" w:w="14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Mín.</w:t>
            </w:r>
          </w:p>
        </w:tc>
        <w:tc>
          <w:tcPr>
            <w:tcW w:type="dxa" w:w="14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Mediana</w:t>
            </w:r>
          </w:p>
        </w:tc>
        <w:tc>
          <w:tcPr>
            <w:tcW w:type="dxa" w:w="14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Máx.</w:t>
            </w:r>
          </w:p>
        </w:tc>
      </w:tr>
      <w:tr>
        <w:trPr>
          <w:cantSplit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Age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53,51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9,43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54,00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77,00</w:t>
            </w:r>
          </w:p>
        </w:tc>
      </w:tr>
      <w:tr>
        <w:trPr>
          <w:cantSplit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RestingBP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132,40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18,51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130,00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200,00</w:t>
            </w:r>
          </w:p>
        </w:tc>
      </w:tr>
      <w:tr>
        <w:trPr>
          <w:cantSplit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Cholesterol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198,80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109,38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223,00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603,00</w:t>
            </w:r>
          </w:p>
        </w:tc>
      </w:tr>
      <w:tr>
        <w:trPr>
          <w:cantSplit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FastingBS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0,23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0,42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1,00</w:t>
            </w:r>
          </w:p>
        </w:tc>
      </w:tr>
      <w:tr>
        <w:trPr>
          <w:cantSplit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MaxHR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136,81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25,46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138,00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202,00</w:t>
            </w:r>
          </w:p>
        </w:tc>
      </w:tr>
      <w:tr>
        <w:trPr>
          <w:cantSplit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Oldpeak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0,89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1,07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−2,60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6,20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Metodologia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Fluxo de processamento (pipeline)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modelo avaliado é uma floresta aleatória (</w:t>
      </w:r>
      <w:r>
        <w:rPr>
          <w:rFonts w:ascii="Times New Roman" w:cs="Times New Roman" w:eastAsia="Times New Roman" w:hAnsi="Times New Roman"/>
          <w:i/>
          <w:iCs/>
        </w:rPr>
        <w:t xml:space="preserve">RandomForestClassifier</w:t>
      </w:r>
      <w:r>
        <w:rPr>
          <w:rFonts w:ascii="Times New Roman" w:cs="Times New Roman" w:eastAsia="Times New Roman" w:hAnsi="Times New Roman"/>
        </w:rPr>
        <w:t xml:space="preserve">), implementada no notebook </w:t>
      </w:r>
      <w:r>
        <w:rPr>
          <w:rFonts w:ascii="Times New Roman" w:cs="Times New Roman" w:eastAsia="Times New Roman" w:hAnsi="Times New Roman"/>
          <w:i/>
          <w:iCs/>
        </w:rPr>
        <w:t xml:space="preserve">docs/handle_forest/Random_Forest_Heart_Failure_mlflow.ipynb</w:t>
      </w:r>
      <w:r>
        <w:rPr>
          <w:rFonts w:ascii="Times New Roman" w:cs="Times New Roman" w:eastAsia="Times New Roman" w:hAnsi="Times New Roman"/>
        </w:rPr>
        <w:t xml:space="preserve">. Como referência de comparação, utilizou-se o notebook </w:t>
      </w:r>
      <w:r>
        <w:rPr>
          <w:rFonts w:ascii="Times New Roman" w:cs="Times New Roman" w:eastAsia="Times New Roman" w:hAnsi="Times New Roman"/>
          <w:i/>
          <w:iCs/>
        </w:rPr>
        <w:t xml:space="preserve">Arvore_Decisao_Heart_Failure_mlflow.ipynb</w:t>
      </w:r>
      <w:r>
        <w:rPr>
          <w:rFonts w:ascii="Times New Roman" w:cs="Times New Roman" w:eastAsia="Times New Roman" w:hAnsi="Times New Roman"/>
        </w:rPr>
        <w:t xml:space="preserve"> (experimento </w:t>
      </w:r>
      <w:r>
        <w:rPr>
          <w:rFonts w:ascii="Times New Roman" w:cs="Times New Roman" w:eastAsia="Times New Roman" w:hAnsi="Times New Roman"/>
          <w:i/>
          <w:iCs/>
        </w:rPr>
        <w:t xml:space="preserve">heart_failure_arvore_decisao</w:t>
      </w:r>
      <w:r>
        <w:rPr>
          <w:rFonts w:ascii="Times New Roman" w:cs="Times New Roman" w:eastAsia="Times New Roman" w:hAnsi="Times New Roman"/>
        </w:rPr>
        <w:t xml:space="preserve">). O modelo é encapsulado em um fluxo de processamento (</w:t>
      </w:r>
      <w:r>
        <w:rPr>
          <w:rFonts w:ascii="Times New Roman" w:cs="Times New Roman" w:eastAsia="Times New Roman" w:hAnsi="Times New Roman"/>
          <w:i/>
          <w:iCs/>
        </w:rPr>
        <w:t xml:space="preserve">Pipeline</w:t>
      </w:r>
      <w:r>
        <w:rPr>
          <w:rFonts w:ascii="Times New Roman" w:cs="Times New Roman" w:eastAsia="Times New Roman" w:hAnsi="Times New Roman"/>
        </w:rPr>
        <w:t xml:space="preserve">) idêntico ao da árvore, composto por três etapas: (i) pré-processamento numérico, com </w:t>
      </w:r>
      <w:r>
        <w:rPr>
          <w:rFonts w:ascii="Times New Roman" w:cs="Times New Roman" w:eastAsia="Times New Roman" w:hAnsi="Times New Roman"/>
          <w:i/>
          <w:iCs/>
        </w:rPr>
        <w:t xml:space="preserve">SimpleImputer</w:t>
      </w:r>
      <w:r>
        <w:rPr>
          <w:rFonts w:ascii="Times New Roman" w:cs="Times New Roman" w:eastAsia="Times New Roman" w:hAnsi="Times New Roman"/>
        </w:rPr>
        <w:t xml:space="preserve"> — tendo sido testadas as estratégias mediana, média e moda — seguido de </w:t>
      </w:r>
      <w:r>
        <w:rPr>
          <w:rFonts w:ascii="Times New Roman" w:cs="Times New Roman" w:eastAsia="Times New Roman" w:hAnsi="Times New Roman"/>
          <w:i/>
          <w:iCs/>
        </w:rPr>
        <w:t xml:space="preserve">StandardScaler</w:t>
      </w:r>
      <w:r>
        <w:rPr>
          <w:rFonts w:ascii="Times New Roman" w:cs="Times New Roman" w:eastAsia="Times New Roman" w:hAnsi="Times New Roman"/>
        </w:rPr>
        <w:t xml:space="preserve">; (ii) pré-processamento categórico, com comparação entre </w:t>
      </w:r>
      <w:r>
        <w:rPr>
          <w:rFonts w:ascii="Times New Roman" w:cs="Times New Roman" w:eastAsia="Times New Roman" w:hAnsi="Times New Roman"/>
          <w:i/>
          <w:iCs/>
        </w:rPr>
        <w:t xml:space="preserve">OneHotEncoder</w:t>
      </w:r>
      <w:r>
        <w:rPr>
          <w:rFonts w:ascii="Times New Roman" w:cs="Times New Roman" w:eastAsia="Times New Roman" w:hAnsi="Times New Roman"/>
        </w:rPr>
        <w:t xml:space="preserve"> e </w:t>
      </w:r>
      <w:r>
        <w:rPr>
          <w:rFonts w:ascii="Times New Roman" w:cs="Times New Roman" w:eastAsia="Times New Roman" w:hAnsi="Times New Roman"/>
          <w:i/>
          <w:iCs/>
        </w:rPr>
        <w:t xml:space="preserve">OrdinalEncoder</w:t>
      </w:r>
      <w:r>
        <w:rPr>
          <w:rFonts w:ascii="Times New Roman" w:cs="Times New Roman" w:eastAsia="Times New Roman" w:hAnsi="Times New Roman"/>
        </w:rPr>
        <w:t xml:space="preserve">; e (iii) o classificador </w:t>
      </w:r>
      <w:r>
        <w:rPr>
          <w:rFonts w:ascii="Times New Roman" w:cs="Times New Roman" w:eastAsia="Times New Roman" w:hAnsi="Times New Roman"/>
          <w:i/>
          <w:iCs/>
        </w:rPr>
        <w:t xml:space="preserve">RandomForestClassifier</w:t>
      </w:r>
      <w:r>
        <w:rPr>
          <w:rFonts w:ascii="Times New Roman" w:cs="Times New Roman" w:eastAsia="Times New Roman" w:hAnsi="Times New Roman"/>
        </w:rPr>
        <w:t xml:space="preserve">, com </w:t>
      </w:r>
      <w:r>
        <w:rPr>
          <w:rFonts w:ascii="Times New Roman" w:cs="Times New Roman" w:eastAsia="Times New Roman" w:hAnsi="Times New Roman"/>
          <w:i/>
          <w:iCs/>
        </w:rPr>
        <w:t xml:space="preserve">n_estimators = 300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Todas as etapas são ajustadas exclusivamente sobre a partição de treino de cada </w:t>
      </w:r>
      <w:r>
        <w:rPr>
          <w:rFonts w:ascii="Times New Roman" w:cs="Times New Roman" w:eastAsia="Times New Roman" w:hAnsi="Times New Roman"/>
          <w:i/>
          <w:iCs/>
        </w:rPr>
        <w:t xml:space="preserve">fold</w:t>
      </w:r>
      <w:r>
        <w:rPr>
          <w:rFonts w:ascii="Times New Roman" w:cs="Times New Roman" w:eastAsia="Times New Roman" w:hAnsi="Times New Roman"/>
        </w:rPr>
        <w:t xml:space="preserve"> da validação cruzada, o que evita vazamento de informação.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Validação e seleção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conjunto de dados foi dividido de forma estratificada na proporção 80/20 (semente 42), e o conjunto de teste foi reservado até a etapa final. Na busca de hiperparâmetros, empregou-se </w:t>
      </w:r>
      <w:r>
        <w:rPr>
          <w:rFonts w:ascii="Times New Roman" w:cs="Times New Roman" w:eastAsia="Times New Roman" w:hAnsi="Times New Roman"/>
          <w:i/>
          <w:iCs/>
        </w:rPr>
        <w:t xml:space="preserve">RepeatedStratifiedKFold</w:t>
      </w:r>
      <w:r>
        <w:rPr>
          <w:rFonts w:ascii="Times New Roman" w:cs="Times New Roman" w:eastAsia="Times New Roman" w:hAnsi="Times New Roman"/>
        </w:rPr>
        <w:t xml:space="preserve"> com cinco </w:t>
      </w:r>
      <w:r>
        <w:rPr>
          <w:rFonts w:ascii="Times New Roman" w:cs="Times New Roman" w:eastAsia="Times New Roman" w:hAnsi="Times New Roman"/>
          <w:i/>
          <w:iCs/>
        </w:rPr>
        <w:t xml:space="preserve">folds</w:t>
      </w:r>
      <w:r>
        <w:rPr>
          <w:rFonts w:ascii="Times New Roman" w:cs="Times New Roman" w:eastAsia="Times New Roman" w:hAnsi="Times New Roman"/>
        </w:rPr>
        <w:t xml:space="preserve"> e duas repetições. A busca em grade (</w:t>
      </w:r>
      <w:r>
        <w:rPr>
          <w:rFonts w:ascii="Times New Roman" w:cs="Times New Roman" w:eastAsia="Times New Roman" w:hAnsi="Times New Roman"/>
          <w:i/>
          <w:iCs/>
        </w:rPr>
        <w:t xml:space="preserve">GridSearchCV</w:t>
      </w:r>
      <w:r>
        <w:rPr>
          <w:rFonts w:ascii="Times New Roman" w:cs="Times New Roman" w:eastAsia="Times New Roman" w:hAnsi="Times New Roman"/>
        </w:rPr>
        <w:t xml:space="preserve">) utilizou como métrica de reajuste (</w:t>
      </w:r>
      <w:r>
        <w:rPr>
          <w:rFonts w:ascii="Times New Roman" w:cs="Times New Roman" w:eastAsia="Times New Roman" w:hAnsi="Times New Roman"/>
          <w:i/>
          <w:iCs/>
        </w:rPr>
        <w:t xml:space="preserve">refit</w:t>
      </w:r>
      <w:r>
        <w:rPr>
          <w:rFonts w:ascii="Times New Roman" w:cs="Times New Roman" w:eastAsia="Times New Roman" w:hAnsi="Times New Roman"/>
        </w:rPr>
        <w:t xml:space="preserve">) o F1 da classe 1, sendo também medidas a acurácia, a precisão e a revocação.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grade combinou imputação (3) × </w:t>
      </w:r>
      <w:r>
        <w:rPr>
          <w:rFonts w:ascii="Times New Roman" w:cs="Times New Roman" w:eastAsia="Times New Roman" w:hAnsi="Times New Roman"/>
          <w:i/>
          <w:iCs/>
        </w:rPr>
        <w:t xml:space="preserve">criterion</w:t>
      </w:r>
      <w:r>
        <w:rPr>
          <w:rFonts w:ascii="Times New Roman" w:cs="Times New Roman" w:eastAsia="Times New Roman" w:hAnsi="Times New Roman"/>
        </w:rPr>
        <w:t xml:space="preserve"> (2) × </w:t>
      </w:r>
      <w:r>
        <w:rPr>
          <w:rFonts w:ascii="Times New Roman" w:cs="Times New Roman" w:eastAsia="Times New Roman" w:hAnsi="Times New Roman"/>
          <w:i/>
          <w:iCs/>
        </w:rPr>
        <w:t xml:space="preserve">max_depth</w:t>
      </w:r>
      <w:r>
        <w:rPr>
          <w:rFonts w:ascii="Times New Roman" w:cs="Times New Roman" w:eastAsia="Times New Roman" w:hAnsi="Times New Roman"/>
        </w:rPr>
        <w:t xml:space="preserve"> (4) × </w:t>
      </w:r>
      <w:r>
        <w:rPr>
          <w:rFonts w:ascii="Times New Roman" w:cs="Times New Roman" w:eastAsia="Times New Roman" w:hAnsi="Times New Roman"/>
          <w:i/>
          <w:iCs/>
        </w:rPr>
        <w:t xml:space="preserve">min_samples_split</w:t>
      </w:r>
      <w:r>
        <w:rPr>
          <w:rFonts w:ascii="Times New Roman" w:cs="Times New Roman" w:eastAsia="Times New Roman" w:hAnsi="Times New Roman"/>
        </w:rPr>
        <w:t xml:space="preserve"> (3) × </w:t>
      </w:r>
      <w:r>
        <w:rPr>
          <w:rFonts w:ascii="Times New Roman" w:cs="Times New Roman" w:eastAsia="Times New Roman" w:hAnsi="Times New Roman"/>
          <w:i/>
          <w:iCs/>
        </w:rPr>
        <w:t xml:space="preserve">min_samples_leaf</w:t>
      </w:r>
      <w:r>
        <w:rPr>
          <w:rFonts w:ascii="Times New Roman" w:cs="Times New Roman" w:eastAsia="Times New Roman" w:hAnsi="Times New Roman"/>
        </w:rPr>
        <w:t xml:space="preserve"> (3) × </w:t>
      </w:r>
      <w:r>
        <w:rPr>
          <w:rFonts w:ascii="Times New Roman" w:cs="Times New Roman" w:eastAsia="Times New Roman" w:hAnsi="Times New Roman"/>
          <w:i/>
          <w:iCs/>
        </w:rPr>
        <w:t xml:space="preserve">max_features</w:t>
      </w:r>
      <w:r>
        <w:rPr>
          <w:rFonts w:ascii="Times New Roman" w:cs="Times New Roman" w:eastAsia="Times New Roman" w:hAnsi="Times New Roman"/>
        </w:rPr>
        <w:t xml:space="preserve"> (2) × </w:t>
      </w:r>
      <w:r>
        <w:rPr>
          <w:rFonts w:ascii="Times New Roman" w:cs="Times New Roman" w:eastAsia="Times New Roman" w:hAnsi="Times New Roman"/>
          <w:i/>
          <w:iCs/>
        </w:rPr>
        <w:t xml:space="preserve">class_weight</w:t>
      </w:r>
      <w:r>
        <w:rPr>
          <w:rFonts w:ascii="Times New Roman" w:cs="Times New Roman" w:eastAsia="Times New Roman" w:hAnsi="Times New Roman"/>
        </w:rPr>
        <w:t xml:space="preserve"> (2), totalizando 864 combinações por codificação. Isso corresponde a 8.640 ajustes por codificação e a 17.280 ajustes no total, considerando as codificações one-hot e ordinal. Os valores testados para cada hiperparâmetro constam na Tabela 4.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4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Valores testados para cada hiperparâmetro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5506"/>
      </w:tblGrid>
      <w:tr>
        <w:trPr>
          <w:cantSplit/>
          <w:tblHeader/>
        </w:trPr>
        <w:tc>
          <w:tcPr>
            <w:tcW w:type="dxa" w:w="3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55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Valores testados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prep__num__imp__strategy</w:t>
            </w:r>
          </w:p>
        </w:tc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median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mean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most_frequent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modelo__criterion</w:t>
            </w:r>
          </w:p>
        </w:tc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gini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entropy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modelo__max_depth</w:t>
            </w:r>
          </w:p>
        </w:tc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7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modelo__min_samples_split</w:t>
            </w:r>
          </w:p>
        </w:tc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modelo__min_samples_leaf</w:t>
            </w:r>
          </w:p>
        </w:tc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modelo__max_features</w:t>
            </w:r>
          </w:p>
        </w:tc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None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sqrt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modelo__class_weight</w:t>
            </w:r>
          </w:p>
        </w:tc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None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balanced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modelo__n_estimators</w:t>
            </w:r>
          </w:p>
        </w:tc>
        <w:tc>
          <w:tcPr>
            <w:tcW w:type="dxa" w:w="55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300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(fixo na busca; avaliado à parte com 100, 300, 500 e 800)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avaliação no conjunto de teste considerou acurácia, precisão, revocação e F1 para ambas as classes, além do F1 macro, do intervalo de confiança de 95% (IC 95%) do F1 da classe 1 — estimado por </w:t>
      </w:r>
      <w:r>
        <w:rPr>
          <w:rFonts w:ascii="Times New Roman" w:cs="Times New Roman" w:eastAsia="Times New Roman" w:hAnsi="Times New Roman"/>
          <w:i/>
          <w:iCs/>
        </w:rPr>
        <w:t xml:space="preserve">bootstrap</w:t>
      </w:r>
      <w:r>
        <w:rPr>
          <w:rFonts w:ascii="Times New Roman" w:cs="Times New Roman" w:eastAsia="Times New Roman" w:hAnsi="Times New Roman"/>
        </w:rPr>
        <w:t xml:space="preserve"> com 1.000 reamostragens —, da matriz de confusão e da contagem de falsos negativos (FN) e falsos positivos (FP).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Fases do notebook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experimento foi organizado em treze fases, sintetizadas na Tabela 5.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5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Fases do notebook e respectivas atividades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80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68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Atividades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Configuração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Semente, MLflow (SQLite compartilhado) e pastas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docs/handle_forest/...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Carga e limpeza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Leitura de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bases/heart.csv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zeros de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Cholesterol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RestingBP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convertidos em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Preparação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ColumnTransformer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(imputação + codificação + escalonamento), divisão 80/20 e CV 5×2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Busca em grade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864 combinações por codificação; one-hot e ordinal; OOB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score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registro no MLflow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Avaliação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Métricas das duas classes, IC 95%, matriz de confusão, FN/FP e importâncias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Referência (baseline)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DummyClassifier(most_frequent)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como referência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Interpretação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Importância média e dispersão entre árvores, árvore representativa, permutação e invariância à escala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 Ablação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Remoção de um atributo por vez, com os mesmos hiperparâmetros; ambas as classes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 Engenharia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Cinco razões/interações clínicas; comparação sem e com engenharia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 Nº de árvores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100, 300, 500 e 800 árvores com os melhores parâmetros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 Comparação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Tabelas e gráfico RF × árvore; deltas registrados no MLflow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 Exportação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CSVs, JSON, PNGs e ZIP; artefatos no MLflow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 Consulta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Exportação das execuções dos dois experimentos para CSV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Engenharia de atributos testada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Foram testados os mesmos cinco atributos derivados empregados na etapa da árvore, apresentados na Tabela 6. As razões são calculadas linha a linha, antes da divisão dos dados, sem risco de vazamento.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6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Atributos derivados pela engenharia de atributos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3906"/>
        <w:gridCol w:w="300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 derivado</w:t>
            </w:r>
          </w:p>
        </w:tc>
        <w:tc>
          <w:tcPr>
            <w:tcW w:type="dxa" w:w="39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Motivação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FC_pct_teorica</w:t>
            </w:r>
          </w:p>
        </w:tc>
        <w:tc>
          <w:tcPr>
            <w:tcW w:type="dxa" w:w="3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MaxHR / (220 − Age)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% da FC máxima teórica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Chol_por_Idade</w:t>
            </w:r>
          </w:p>
        </w:tc>
        <w:tc>
          <w:tcPr>
            <w:tcW w:type="dxa" w:w="3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Cholesterol / Age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Colesterol relativo à idade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BP_por_Idade</w:t>
            </w:r>
          </w:p>
        </w:tc>
        <w:tc>
          <w:tcPr>
            <w:tcW w:type="dxa" w:w="3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RestingBP / Age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Pressão relativa à idade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Oldpeak_por_FC</w:t>
            </w:r>
          </w:p>
        </w:tc>
        <w:tc>
          <w:tcPr>
            <w:tcW w:type="dxa" w:w="3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Oldpeak / MaxHR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Depressão ST por batimento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Angina_x_Oldpeak</w:t>
            </w:r>
          </w:p>
        </w:tc>
        <w:tc>
          <w:tcPr>
            <w:tcW w:type="dxa" w:w="39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(ExerciseAngina == 'Y') × Oldpeak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Interação angina × ST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Recursos específicos do Random Forest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Além do protocolo comum às duas abordagens, quatro recursos próprios da floresta foram explorados. O primeiro é o OOB </w:t>
      </w:r>
      <w:r>
        <w:rPr>
          <w:rFonts w:ascii="Times New Roman" w:cs="Times New Roman" w:eastAsia="Times New Roman" w:hAnsi="Times New Roman"/>
          <w:i/>
          <w:iCs/>
        </w:rPr>
        <w:t xml:space="preserve">score</w:t>
      </w:r>
      <w:r>
        <w:rPr>
          <w:rFonts w:ascii="Times New Roman" w:cs="Times New Roman" w:eastAsia="Times New Roman" w:hAnsi="Times New Roman"/>
        </w:rPr>
        <w:t xml:space="preserve">: cada árvore é treinada sobre uma amostra </w:t>
      </w:r>
      <w:r>
        <w:rPr>
          <w:rFonts w:ascii="Times New Roman" w:cs="Times New Roman" w:eastAsia="Times New Roman" w:hAnsi="Times New Roman"/>
          <w:i/>
          <w:iCs/>
        </w:rPr>
        <w:t xml:space="preserve">bootstrap</w:t>
      </w:r>
      <w:r>
        <w:rPr>
          <w:rFonts w:ascii="Times New Roman" w:cs="Times New Roman" w:eastAsia="Times New Roman" w:hAnsi="Times New Roman"/>
        </w:rPr>
        <w:t xml:space="preserve">, e as observações deixadas de fora funcionam como validação interna. O OOB foi registrado como métrica adicional, mas não participa da seleção de modelos, de modo a manter o critério idêntico ao da árvore.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segundo recurso é a dispersão das importâncias: a importância de cada variável é calculada em cada uma das 300 árvores, reportando-se média, desvio-padrão e quartis. Uma variável com importância alta, porém muito instável entre as árvores, é menos confiável. O terceiro é a importância por permutação, que mede a queda do F1 no teste ao embaralhar cada atributo original e complementa a importância por impureza, sabidamente enviesada a favor de variáveis com muitos valores distintos. Por fim, avaliou-se a sensibilidade ao número de árvores (100, 300, 500 e 800), com os melhores hiperparâmetros, a fim de verificar o retorno decrescente.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Resultados do Random Forest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Busca em grade e hiperparâmetros selecionados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7 apresenta os hiperparâmetros selecionados pela busca em grade para cada codificação, juntamente com o OOB </w:t>
      </w:r>
      <w:r>
        <w:rPr>
          <w:rFonts w:ascii="Times New Roman" w:cs="Times New Roman" w:eastAsia="Times New Roman" w:hAnsi="Times New Roman"/>
          <w:i/>
          <w:iCs/>
        </w:rPr>
        <w:t xml:space="preserve">score</w:t>
      </w:r>
      <w:r>
        <w:rPr>
          <w:rFonts w:ascii="Times New Roman" w:cs="Times New Roman" w:eastAsia="Times New Roman" w:hAnsi="Times New Roman"/>
        </w:rPr>
        <w:t xml:space="preserve"> e o tempo de busca.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7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Hiperparâmetros selecionados pela busca em grade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6"/>
        <w:gridCol w:w="3000"/>
        <w:gridCol w:w="3000"/>
      </w:tblGrid>
      <w:tr>
        <w:trPr>
          <w:cantSplit/>
          <w:tblHeader/>
        </w:trPr>
        <w:tc>
          <w:tcPr>
            <w:tcW w:type="dxa" w:w="34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One-hot</w:t>
            </w:r>
          </w:p>
        </w:tc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Ordinal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Imputação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median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mean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class_weight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balanced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balanced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criterion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entropy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entropy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max_depth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sqrt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sqrt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300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OOB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0,8583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0,8583</w:t>
            </w:r>
          </w:p>
        </w:tc>
      </w:tr>
      <w:tr>
        <w:trPr>
          <w:cantSplit/>
        </w:trPr>
        <w:tc>
          <w:tcPr>
            <w:tcW w:type="dxa" w:w="34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Tempo de busca (min)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12,0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14,4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busca avaliou 864 combinações por codificação (17.280 ajustes no total), tendo o F1 da classe 1 como critério de seleção. As duas codificações convergiram para </w:t>
      </w:r>
      <w:r>
        <w:rPr>
          <w:rFonts w:ascii="Times New Roman" w:cs="Times New Roman" w:eastAsia="Times New Roman" w:hAnsi="Times New Roman"/>
          <w:i/>
          <w:iCs/>
        </w:rPr>
        <w:t xml:space="preserve">criterion='entropy'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i/>
          <w:iCs/>
        </w:rPr>
        <w:t xml:space="preserve">max_features='sqrt'</w:t>
      </w:r>
      <w:r>
        <w:rPr>
          <w:rFonts w:ascii="Times New Roman" w:cs="Times New Roman" w:eastAsia="Times New Roman" w:hAnsi="Times New Roman"/>
        </w:rPr>
        <w:t xml:space="preserve"> e </w:t>
      </w:r>
      <w:r>
        <w:rPr>
          <w:rFonts w:ascii="Times New Roman" w:cs="Times New Roman" w:eastAsia="Times New Roman" w:hAnsi="Times New Roman"/>
          <w:i/>
          <w:iCs/>
        </w:rPr>
        <w:t xml:space="preserve">class_weight='balanced'</w:t>
      </w:r>
      <w:r>
        <w:rPr>
          <w:rFonts w:ascii="Times New Roman" w:cs="Times New Roman" w:eastAsia="Times New Roman" w:hAnsi="Times New Roman"/>
        </w:rPr>
        <w:t xml:space="preserve">; as diferenças concentram-se na profundidade (sem limite no one-hot e 7 no ordinal), no tamanho mínimo das folhas e na estratégia de imputação (mediana × média). Na prática, as árvores resultantes apresentaram profundidade média de 9,9 (one-hot) e 7,0 (ordinal), com cerca de 44 e 50 folhas por árvore, respectivamente.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Os tempos de busca foram de 12,0 min (one-hot) e 14,4 min (ordinal), valores muito superiores ao custo da árvore única, que leva poucos segundos, uma vez que cada ajuste treina 300 árvores.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Comparação entre as codificações one-hot e ordinal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8 compara o desempenho das duas codificações no conjunto de teste.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8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Desempenho das codificações one-hot e ordinal no conjunto de teste</w:t>
      </w:r>
    </w:p>
    <w:tbl>
      <w:tblPr>
        <w:tblW w:type="dxa" w:w="905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50"/>
        <w:gridCol w:w="860"/>
        <w:gridCol w:w="830"/>
        <w:gridCol w:w="830"/>
        <w:gridCol w:w="830"/>
        <w:gridCol w:w="830"/>
        <w:gridCol w:w="830"/>
        <w:gridCol w:w="830"/>
        <w:gridCol w:w="900"/>
        <w:gridCol w:w="1166"/>
      </w:tblGrid>
      <w:tr>
        <w:trPr>
          <w:cantSplit/>
          <w:tblHeader/>
        </w:trPr>
        <w:tc>
          <w:tcPr>
            <w:tcW w:type="dxa" w:w="11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Codificação</w:t>
            </w:r>
          </w:p>
        </w:tc>
        <w:tc>
          <w:tcPr>
            <w:tcW w:type="dxa" w:w="8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Acurácia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Prec_c0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Rec_c0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F1_c0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Prec_c1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Rec_c1</w:t>
            </w:r>
          </w:p>
        </w:tc>
        <w:tc>
          <w:tcPr>
            <w:tcW w:type="dxa" w:w="83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F1_c1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F1_macro</w:t>
            </w:r>
          </w:p>
        </w:tc>
        <w:tc>
          <w:tcPr>
            <w:tcW w:type="dxa" w:w="116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IC95 F1_c1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ordinal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0,8859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0,8588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0,8902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0,8743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0,9091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0,8824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0,8955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0,8849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0,8469–0,9368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one-hot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0,8804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0,8750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0,8537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0,8642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0,8846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0,9020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0,8932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0,8787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0,8442–0,9347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 Nota: valores em negrito indicam o melhor resultado de cada métrica.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codificação ordinal obteve o maior F1_c1 (0,8955), a maior acurácia (0,8859) e a maior precisão da classe 1 (0,9091), com 12 falsos negativos. A codificação one-hot, por sua vez, apresentou maior revocação da classe 1 (0,9020) e F1_c0 (0,8642), com 10 falsos negativos. Como os intervalos de confiança do F1_c1 se sobrepõem quase totalmente, a diferença entre as codificações não é conclusiva.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Cabe um ponto de atenção metodológico: o melhor F1 na validação cruzada foi obtido pela codificação one-hot (0,8809), enquanto o melhor F1 no teste foi obtido pela ordinal (0,8955). Trata-se do mesmo padrão observado na árvore: a CV e o teste com 184 pacientes divergem em detalhes finos.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Referência (baseline) da classe majoritária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classificador ingênuo (</w:t>
      </w:r>
      <w:r>
        <w:rPr>
          <w:rFonts w:ascii="Times New Roman" w:cs="Times New Roman" w:eastAsia="Times New Roman" w:hAnsi="Times New Roman"/>
          <w:i/>
          <w:iCs/>
        </w:rPr>
        <w:t xml:space="preserve">DummyClassifier</w:t>
      </w:r>
      <w:r>
        <w:rPr>
          <w:rFonts w:ascii="Times New Roman" w:cs="Times New Roman" w:eastAsia="Times New Roman" w:hAnsi="Times New Roman"/>
        </w:rPr>
        <w:t xml:space="preserve">, com estratégia </w:t>
      </w:r>
      <w:r>
        <w:rPr>
          <w:rFonts w:ascii="Times New Roman" w:cs="Times New Roman" w:eastAsia="Times New Roman" w:hAnsi="Times New Roman"/>
          <w:i/>
          <w:iCs/>
        </w:rPr>
        <w:t xml:space="preserve">most_frequent</w:t>
      </w:r>
      <w:r>
        <w:rPr>
          <w:rFonts w:ascii="Times New Roman" w:cs="Times New Roman" w:eastAsia="Times New Roman" w:hAnsi="Times New Roman"/>
        </w:rPr>
        <w:t xml:space="preserve">) prediz sempre a classe 1. Seus resultados constam na Tabela 9.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9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Desempenho do classificador de referência (classe majoritária)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500"/>
      </w:tblGrid>
      <w:tr>
        <w:trPr>
          <w:cantSplit/>
          <w:tblHeader/>
        </w:trPr>
        <w:tc>
          <w:tcPr>
            <w:tcW w:type="dxa" w:w="3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Acurácia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0,5543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Precisão_c1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0,5543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Recall_c1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F1_c1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0,7133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F1_c0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0,0000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F1_macro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0,3566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referência não produz falsos negativos (revocação da classe 1 igual a 1), mas gera 82 falsos positivos, pois todo paciente sadio é classificado como doente. O </w:t>
      </w:r>
      <w:r>
        <w:rPr>
          <w:rFonts w:ascii="Times New Roman" w:cs="Times New Roman" w:eastAsia="Times New Roman" w:hAnsi="Times New Roman"/>
          <w:i/>
          <w:iCs/>
        </w:rPr>
        <w:t xml:space="preserve">Random Forest</w:t>
      </w:r>
      <w:r>
        <w:rPr>
          <w:rFonts w:ascii="Times New Roman" w:cs="Times New Roman" w:eastAsia="Times New Roman" w:hAnsi="Times New Roman"/>
        </w:rPr>
        <w:t xml:space="preserve"> supera essa referência com folga no F1_c1 (0,8955 contra 0,7133) e reduz esse custo para 9 falsos positivos.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Ablação de atributos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Na análise de ablação (seleção de variáveis), cada atributo foi removido individualmente, mantendo-se os melhores hiperparâmetros e </w:t>
      </w:r>
      <w:r>
        <w:rPr>
          <w:rFonts w:ascii="Times New Roman" w:cs="Times New Roman" w:eastAsia="Times New Roman" w:hAnsi="Times New Roman"/>
          <w:i/>
          <w:iCs/>
        </w:rPr>
        <w:t xml:space="preserve">class_weight=None</w:t>
      </w:r>
      <w:r>
        <w:rPr>
          <w:rFonts w:ascii="Times New Roman" w:cs="Times New Roman" w:eastAsia="Times New Roman" w:hAnsi="Times New Roman"/>
        </w:rPr>
        <w:t xml:space="preserve">, conforme o mesmo procedimento adotado para a árvore. Os resultados são apresentados na Tabela 10.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10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Resultados da ablação de atributos no Random Forest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6"/>
        <w:gridCol w:w="1800"/>
        <w:gridCol w:w="950"/>
        <w:gridCol w:w="950"/>
        <w:gridCol w:w="950"/>
        <w:gridCol w:w="1000"/>
        <w:gridCol w:w="600"/>
        <w:gridCol w:w="1050"/>
      </w:tblGrid>
      <w:tr>
        <w:trPr>
          <w:cantSplit/>
          <w:tblHeader/>
        </w:trPr>
        <w:tc>
          <w:tcPr>
            <w:tcW w:type="dxa" w:w="21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Atributo removido</w:t>
            </w:r>
          </w:p>
        </w:tc>
        <w:tc>
          <w:tcPr>
            <w:tcW w:type="dxa" w:w="9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Acurácia</w:t>
            </w:r>
          </w:p>
        </w:tc>
        <w:tc>
          <w:tcPr>
            <w:tcW w:type="dxa" w:w="9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F1_c0</w:t>
            </w:r>
          </w:p>
        </w:tc>
        <w:tc>
          <w:tcPr>
            <w:tcW w:type="dxa" w:w="9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F1_c1</w:t>
            </w:r>
          </w:p>
        </w:tc>
        <w:tc>
          <w:tcPr>
            <w:tcW w:type="dxa" w:w="1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F1_macro</w:t>
            </w:r>
          </w:p>
        </w:tc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FN</w:t>
            </w:r>
          </w:p>
        </w:tc>
        <w:tc>
          <w:tcPr>
            <w:tcW w:type="dxa" w:w="10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F1_CV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todos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nenhum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0,8967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0,8805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0,9091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0,8948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0,8744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sem_MaxHR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MaxHR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0,8859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0,8662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0,9005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0,8834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0,8797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sem_Oldpeak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Oldpeak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0,8859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0,8662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0,9005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0,8834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0,8722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sem_Cholesterol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Cholesterol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0,8859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0,8696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0,8841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0,8742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sem_FastingBS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FastingBS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0,8859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0,8696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0,8841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0,8750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Age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0,8804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0,8608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0,8780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0,8740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sem_RestingBP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RestingBP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0,8750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0,8553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0,8726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0,8716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sem_RestingECG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RestingECG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0,8696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0,8519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0,8677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0,8767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sem_Sex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Sex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0,8641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0,8428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0,8804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0,8616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0,8689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sem_ExerciseAngina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ExerciseAngina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0,8478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0,8293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0,8460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0,8752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sem_ST_Slope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ST_Slope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0,8478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0,8333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0,8467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0,8303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sem_ChestPainType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ChestPainType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0,8261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0,8095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0,8400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0,8248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0,8737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conjunto completo de atributos apresenta o maior F1_c1 (0,9091) e o menor número de falsos negativos (7), de modo que nenhuma remoção melhora a métrica principal. A remoção de </w:t>
      </w:r>
      <w:r>
        <w:rPr>
          <w:rFonts w:ascii="Times New Roman" w:cs="Times New Roman" w:eastAsia="Times New Roman" w:hAnsi="Times New Roman"/>
          <w:i/>
          <w:iCs/>
        </w:rPr>
        <w:t xml:space="preserve">MaxHR</w:t>
      </w:r>
      <w:r>
        <w:rPr>
          <w:rFonts w:ascii="Times New Roman" w:cs="Times New Roman" w:eastAsia="Times New Roman" w:hAnsi="Times New Roman"/>
        </w:rPr>
        <w:t xml:space="preserve"> ou de </w:t>
      </w:r>
      <w:r>
        <w:rPr>
          <w:rFonts w:ascii="Times New Roman" w:cs="Times New Roman" w:eastAsia="Times New Roman" w:hAnsi="Times New Roman"/>
          <w:i/>
          <w:iCs/>
        </w:rPr>
        <w:t xml:space="preserve">Oldpeak</w:t>
      </w:r>
      <w:r>
        <w:rPr>
          <w:rFonts w:ascii="Times New Roman" w:cs="Times New Roman" w:eastAsia="Times New Roman" w:hAnsi="Times New Roman"/>
        </w:rPr>
        <w:t xml:space="preserve"> mantém a revocação (FN = 7), mas reduz a precisão e leva o F1_c1 a 0,9005; já a remoção de </w:t>
      </w:r>
      <w:r>
        <w:rPr>
          <w:rFonts w:ascii="Times New Roman" w:cs="Times New Roman" w:eastAsia="Times New Roman" w:hAnsi="Times New Roman"/>
          <w:i/>
          <w:iCs/>
        </w:rPr>
        <w:t xml:space="preserve">Cholesterol</w:t>
      </w:r>
      <w:r>
        <w:rPr>
          <w:rFonts w:ascii="Times New Roman" w:cs="Times New Roman" w:eastAsia="Times New Roman" w:hAnsi="Times New Roman"/>
        </w:rPr>
        <w:t xml:space="preserve"> ou de </w:t>
      </w:r>
      <w:r>
        <w:rPr>
          <w:rFonts w:ascii="Times New Roman" w:cs="Times New Roman" w:eastAsia="Times New Roman" w:hAnsi="Times New Roman"/>
          <w:i/>
          <w:iCs/>
        </w:rPr>
        <w:t xml:space="preserve">FastingBS</w:t>
      </w:r>
      <w:r>
        <w:rPr>
          <w:rFonts w:ascii="Times New Roman" w:cs="Times New Roman" w:eastAsia="Times New Roman" w:hAnsi="Times New Roman"/>
        </w:rPr>
        <w:t xml:space="preserve"> eleva os falsos negativos para 9. As remoções mais prejudiciais são as de </w:t>
      </w:r>
      <w:r>
        <w:rPr>
          <w:rFonts w:ascii="Times New Roman" w:cs="Times New Roman" w:eastAsia="Times New Roman" w:hAnsi="Times New Roman"/>
          <w:i/>
          <w:iCs/>
        </w:rPr>
        <w:t xml:space="preserve">ChestPainType</w:t>
      </w:r>
      <w:r>
        <w:rPr>
          <w:rFonts w:ascii="Times New Roman" w:cs="Times New Roman" w:eastAsia="Times New Roman" w:hAnsi="Times New Roman"/>
        </w:rPr>
        <w:t xml:space="preserve"> (F1_c1 de 0,8400, com 18 FN), </w:t>
      </w:r>
      <w:r>
        <w:rPr>
          <w:rFonts w:ascii="Times New Roman" w:cs="Times New Roman" w:eastAsia="Times New Roman" w:hAnsi="Times New Roman"/>
          <w:i/>
          <w:iCs/>
        </w:rPr>
        <w:t xml:space="preserve">ST_Slope</w:t>
      </w:r>
      <w:r>
        <w:rPr>
          <w:rFonts w:ascii="Times New Roman" w:cs="Times New Roman" w:eastAsia="Times New Roman" w:hAnsi="Times New Roman"/>
        </w:rPr>
        <w:t xml:space="preserve"> (0,8600, com 16 FN) e </w:t>
      </w:r>
      <w:r>
        <w:rPr>
          <w:rFonts w:ascii="Times New Roman" w:cs="Times New Roman" w:eastAsia="Times New Roman" w:hAnsi="Times New Roman"/>
          <w:i/>
          <w:iCs/>
        </w:rPr>
        <w:t xml:space="preserve">ExerciseAngina</w:t>
      </w:r>
      <w:r>
        <w:rPr>
          <w:rFonts w:ascii="Times New Roman" w:cs="Times New Roman" w:eastAsia="Times New Roman" w:hAnsi="Times New Roman"/>
        </w:rPr>
        <w:t xml:space="preserve"> (0,8627).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Conclui-se, portanto, que todos os atributos devem ser mantidos para maximizar o F1_c1 — a mesma conclusão obtida com a árvore.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Engenharia de atributos (razões e interações clínicas)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11 compara o desempenho da floresta sem e com os atributos derivados.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11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Comparação do Random Forest sem e com engenharia de atributos</w:t>
      </w:r>
    </w:p>
    <w:tbl>
      <w:tblPr>
        <w:tblW w:type="dxa" w:w="86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6"/>
        <w:gridCol w:w="1100"/>
        <w:gridCol w:w="950"/>
        <w:gridCol w:w="900"/>
        <w:gridCol w:w="900"/>
        <w:gridCol w:w="950"/>
        <w:gridCol w:w="550"/>
        <w:gridCol w:w="550"/>
        <w:gridCol w:w="950"/>
      </w:tblGrid>
      <w:tr>
        <w:trPr>
          <w:cantSplit/>
          <w:tblHeader/>
        </w:trPr>
        <w:tc>
          <w:tcPr>
            <w:tcW w:type="dxa" w:w="175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Nº de atributos</w:t>
            </w:r>
          </w:p>
        </w:tc>
        <w:tc>
          <w:tcPr>
            <w:tcW w:type="dxa" w:w="9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Acurácia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F1_c0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F1_c1</w:t>
            </w:r>
          </w:p>
        </w:tc>
        <w:tc>
          <w:tcPr>
            <w:tcW w:type="dxa" w:w="9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F1_macro</w:t>
            </w:r>
          </w:p>
        </w:tc>
        <w:tc>
          <w:tcPr>
            <w:tcW w:type="dxa" w:w="5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FN</w:t>
            </w:r>
          </w:p>
        </w:tc>
        <w:tc>
          <w:tcPr>
            <w:tcW w:type="dxa" w:w="5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FP</w:t>
            </w:r>
          </w:p>
        </w:tc>
        <w:tc>
          <w:tcPr>
            <w:tcW w:type="dxa" w:w="9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F1_CV</w:t>
            </w:r>
          </w:p>
        </w:tc>
      </w:tr>
      <w:tr>
        <w:trPr>
          <w:cantSplit/>
        </w:trPr>
        <w:tc>
          <w:tcPr>
            <w:tcW w:type="dxa" w:w="1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sem_engenharia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0,8967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0,8805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0,9091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0,8948</w:t>
            </w:r>
          </w:p>
        </w:tc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0,8744</w:t>
            </w:r>
          </w:p>
        </w:tc>
      </w:tr>
      <w:tr>
        <w:trPr>
          <w:cantSplit/>
        </w:trPr>
        <w:tc>
          <w:tcPr>
            <w:tcW w:type="dxa" w:w="175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com_engenharia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0,8370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0,8125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0,8558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0,8341</w:t>
            </w:r>
          </w:p>
        </w:tc>
        <w:tc>
          <w:tcPr>
            <w:tcW w:type="dxa" w:w="5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5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0,8775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No conjunto de teste, os cinco atributos derivados pioraram o resultado: o F1_c1 caiu de 0,9091 para 0,8558 (−0,0533), a revocação da classe 1 passou de 0,9314 para 0,8725, e os falsos negativos aumentaram de 7 para 13. Na validação cruzada, houve ligeira melhora (de 0,8744 para 0,8775), sem confirmação, contudo, no teste.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Em comparação com a árvore, o efeito foi oposto. Na árvore, a engenharia melhorou o desempenho no teste (de 0,8387 para 0,8545) e piorou a CV (de 0,8604 para 0,7946); na floresta, piorou o teste e manteve a CV estável. Esse comportamento é coerente com a hipótese de que o </w:t>
      </w:r>
      <w:r>
        <w:rPr>
          <w:rFonts w:ascii="Times New Roman" w:cs="Times New Roman" w:eastAsia="Times New Roman" w:hAnsi="Times New Roman"/>
          <w:i/>
          <w:iCs/>
        </w:rPr>
        <w:t xml:space="preserve">ensemble</w:t>
      </w:r>
      <w:r>
        <w:rPr>
          <w:rFonts w:ascii="Times New Roman" w:cs="Times New Roman" w:eastAsia="Times New Roman" w:hAnsi="Times New Roman"/>
        </w:rPr>
        <w:t xml:space="preserve"> já representa interações por meio da combinação de cortes, o que torna as razões redundantes e, com cinco atributos a mais para apenas 734 registros, aumenta a variância.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Matrizes de confusão e o erro de maior gravidade clínica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12 reúne os elementos das matrizes de confusão obtidas no conjunto de teste, composto por 184 pacientes (82 da classe 0 e 102 da classe 1), para a floresta, a árvore e a referência.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12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Elementos das matrizes de confusão no conjunto de teste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6"/>
        <w:gridCol w:w="650"/>
        <w:gridCol w:w="650"/>
        <w:gridCol w:w="1200"/>
        <w:gridCol w:w="650"/>
        <w:gridCol w:w="1150"/>
        <w:gridCol w:w="1150"/>
        <w:gridCol w:w="1250"/>
      </w:tblGrid>
      <w:tr>
        <w:trPr>
          <w:cantSplit/>
          <w:tblHeader/>
        </w:trPr>
        <w:tc>
          <w:tcPr>
            <w:tcW w:type="dxa" w:w="27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6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TN</w:t>
            </w:r>
          </w:p>
        </w:tc>
        <w:tc>
          <w:tcPr>
            <w:tcW w:type="dxa" w:w="6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FP</w:t>
            </w:r>
          </w:p>
        </w:tc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FN (classe 1)</w:t>
            </w:r>
          </w:p>
        </w:tc>
        <w:tc>
          <w:tcPr>
            <w:tcW w:type="dxa" w:w="6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TP</w:t>
            </w:r>
          </w:p>
        </w:tc>
        <w:tc>
          <w:tcPr>
            <w:tcW w:type="dxa" w:w="11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Recall_c1</w:t>
            </w:r>
          </w:p>
        </w:tc>
        <w:tc>
          <w:tcPr>
            <w:tcW w:type="dxa" w:w="11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F1_c1</w:t>
            </w:r>
          </w:p>
        </w:tc>
        <w:tc>
          <w:tcPr>
            <w:tcW w:type="dxa" w:w="12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F1_CV</w:t>
            </w:r>
          </w:p>
        </w:tc>
      </w:tr>
      <w:tr>
        <w:trPr>
          <w:cantSplit/>
        </w:trPr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RF sem_engenharia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0,9314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0,9091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0,8744</w:t>
            </w:r>
          </w:p>
        </w:tc>
      </w:tr>
      <w:tr>
        <w:trPr>
          <w:cantSplit/>
        </w:trPr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RF ordinal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0,8824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0,8955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0,8799</w:t>
            </w:r>
          </w:p>
        </w:tc>
      </w:tr>
      <w:tr>
        <w:trPr>
          <w:cantSplit/>
        </w:trPr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RF one-hot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0,9020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0,8932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0,8809</w:t>
            </w:r>
          </w:p>
        </w:tc>
      </w:tr>
      <w:tr>
        <w:trPr>
          <w:cantSplit/>
        </w:trPr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Árvore com_engenharia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58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0,9216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0,8545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Árvore ordinal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58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0,8922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0,8387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0,8604</w:t>
            </w:r>
          </w:p>
        </w:tc>
      </w:tr>
      <w:tr>
        <w:trPr>
          <w:cantSplit/>
        </w:trPr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Árvore one-hot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0,7941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0,8308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0,8550</w:t>
            </w:r>
          </w:p>
        </w:tc>
      </w:tr>
      <w:tr>
        <w:trPr>
          <w:cantSplit/>
        </w:trPr>
        <w:tc>
          <w:tcPr>
            <w:tcW w:type="dxa" w:w="27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Baseline (classe majoritária)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1,0000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0,7133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Matriz de confusão do Random Forest (codificação ordinal)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27622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a partir da execução do notebook (2026).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Matriz de confusão do Random Forest (codificação one-hot)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2762250" cy="2762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a partir da execução do notebook (2026).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Comparação entre Random Forest e Árvore de Decisão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972175" cy="20574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a partir da execução do notebook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erro de maior gravidade clínica é o falso negativo da classe 1. A melhor configuração da floresta (</w:t>
      </w:r>
      <w:r>
        <w:rPr>
          <w:rFonts w:ascii="Times New Roman" w:cs="Times New Roman" w:eastAsia="Times New Roman" w:hAnsi="Times New Roman"/>
          <w:i/>
          <w:iCs/>
        </w:rPr>
        <w:t xml:space="preserve">sem_engenharia</w:t>
      </w:r>
      <w:r>
        <w:rPr>
          <w:rFonts w:ascii="Times New Roman" w:cs="Times New Roman" w:eastAsia="Times New Roman" w:hAnsi="Times New Roman"/>
        </w:rPr>
        <w:t xml:space="preserve">, isto é, com os 11 atributos, codificação one-hot e </w:t>
      </w:r>
      <w:r>
        <w:rPr>
          <w:rFonts w:ascii="Times New Roman" w:cs="Times New Roman" w:eastAsia="Times New Roman" w:hAnsi="Times New Roman"/>
          <w:i/>
          <w:iCs/>
        </w:rPr>
        <w:t xml:space="preserve">class_weight=None</w:t>
      </w:r>
      <w:r>
        <w:rPr>
          <w:rFonts w:ascii="Times New Roman" w:cs="Times New Roman" w:eastAsia="Times New Roman" w:hAnsi="Times New Roman"/>
        </w:rPr>
        <w:t xml:space="preserve">) produz 7 falsos negativos — resultado superior aos 8 da árvore com engenharia —, mantendo 12 falsos positivos, contra 24 da árvore. A configuração escolhida pela busca (ordinal, </w:t>
      </w:r>
      <w:r>
        <w:rPr>
          <w:rFonts w:ascii="Times New Roman" w:cs="Times New Roman" w:eastAsia="Times New Roman" w:hAnsi="Times New Roman"/>
          <w:i/>
          <w:iCs/>
        </w:rPr>
        <w:t xml:space="preserve">class_weight='balanced'</w:t>
      </w:r>
      <w:r>
        <w:rPr>
          <w:rFonts w:ascii="Times New Roman" w:cs="Times New Roman" w:eastAsia="Times New Roman" w:hAnsi="Times New Roman"/>
        </w:rPr>
        <w:t xml:space="preserve">) apresenta 12 FN e apenas 9 FP: menos alarmes falsos, porém mais pacientes doentes sem diagnóstico.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 Sensibilidade ao número de árvores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13 e a Figura 4 mostram o efeito do número de árvores sobre o desempenho da floresta.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13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Sensibilidade do desempenho ao número de árvores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1050"/>
        <w:gridCol w:w="1050"/>
        <w:gridCol w:w="1050"/>
        <w:gridCol w:w="1100"/>
        <w:gridCol w:w="700"/>
        <w:gridCol w:w="700"/>
        <w:gridCol w:w="2556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Nº de árvores</w:t>
            </w:r>
          </w:p>
        </w:tc>
        <w:tc>
          <w:tcPr>
            <w:tcW w:type="dxa" w:w="10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F1_CV</w:t>
            </w:r>
          </w:p>
        </w:tc>
        <w:tc>
          <w:tcPr>
            <w:tcW w:type="dxa" w:w="10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Acurácia</w:t>
            </w:r>
          </w:p>
        </w:tc>
        <w:tc>
          <w:tcPr>
            <w:tcW w:type="dxa" w:w="10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F1_c1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F1_macro</w:t>
            </w:r>
          </w:p>
        </w:tc>
        <w:tc>
          <w:tcPr>
            <w:tcW w:type="dxa" w:w="7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FN</w:t>
            </w:r>
          </w:p>
        </w:tc>
        <w:tc>
          <w:tcPr>
            <w:tcW w:type="dxa" w:w="7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FP</w:t>
            </w:r>
          </w:p>
        </w:tc>
        <w:tc>
          <w:tcPr>
            <w:tcW w:type="dxa" w:w="255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IC95 F1_c1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0,8741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0,8750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0,8878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0,8734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0,8374–0,9302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0,8809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0,8804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0,8932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0,8787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0,8442–0,9347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0,8790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0,8859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0,8976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0,8844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0,8500–0,9390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0,8800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0,8859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0,8976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0,8844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0,8479–0,9372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4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Sensibilidade ao número de árvores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334000" cy="30099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a partir da execução do notebook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ganho é decrescente: de 100 para 300 árvores, o F1_c1 aumenta 0,0054 (e os FN caem de 11 para 10); de 300 para 500, aumenta apenas 0,0044; e 500 e 800 árvores produzem as mesmas métricas no teste (F1_c1 de 0,8976, com 10 FN e 11 FP). O F1_CV praticamente não varia (0,8741–0,8809). Portanto, 300 árvores representam um bom compromisso entre custo e estabilidade. O OOB </w:t>
      </w:r>
      <w:r>
        <w:rPr>
          <w:rFonts w:ascii="Times New Roman" w:cs="Times New Roman" w:eastAsia="Times New Roman" w:hAnsi="Times New Roman"/>
          <w:i/>
          <w:iCs/>
        </w:rPr>
        <w:t xml:space="preserve">score</w:t>
      </w:r>
      <w:r>
        <w:rPr>
          <w:rFonts w:ascii="Times New Roman" w:cs="Times New Roman" w:eastAsia="Times New Roman" w:hAnsi="Times New Roman"/>
        </w:rPr>
        <w:t xml:space="preserve"> de 0,8583 — 630 dos 734 registros de treino classificados corretamente fora do </w:t>
      </w:r>
      <w:r>
        <w:rPr>
          <w:rFonts w:ascii="Times New Roman" w:cs="Times New Roman" w:eastAsia="Times New Roman" w:hAnsi="Times New Roman"/>
          <w:i/>
          <w:iCs/>
        </w:rPr>
        <w:t xml:space="preserve">bootstrap</w:t>
      </w:r>
      <w:r>
        <w:rPr>
          <w:rFonts w:ascii="Times New Roman" w:cs="Times New Roman" w:eastAsia="Times New Roman" w:hAnsi="Times New Roman"/>
        </w:rPr>
        <w:t xml:space="preserve">, com o mesmo valor nas duas codificações — confirma que a floresta generaliza de forma consistente.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4.8 Importância das variáveis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14 apresenta a importância média por impureza na codificação ordinal, calculada como a média das 300 árvores, e a Tabela 15, a importância por permutação no conjunto de teste, medida como a queda do F1 ao embaralhar cada atributo original.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14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Importância média por impureza (codificação ordinal, média de 300 árvores)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6"/>
        <w:gridCol w:w="1800"/>
        <w:gridCol w:w="2000"/>
        <w:gridCol w:w="1400"/>
        <w:gridCol w:w="1400"/>
      </w:tblGrid>
      <w:tr>
        <w:trPr>
          <w:cantSplit/>
          <w:tblHeader/>
        </w:trPr>
        <w:tc>
          <w:tcPr>
            <w:tcW w:type="dxa" w:w="28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Importância média</w:t>
            </w:r>
          </w:p>
        </w:tc>
        <w:tc>
          <w:tcPr>
            <w:tcW w:type="dxa" w:w="2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Desvio entre árvores</w:t>
            </w:r>
          </w:p>
        </w:tc>
        <w:tc>
          <w:tcPr>
            <w:tcW w:type="dxa" w:w="14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p25</w:t>
            </w:r>
          </w:p>
        </w:tc>
        <w:tc>
          <w:tcPr>
            <w:tcW w:type="dxa" w:w="14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p75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cat__ST_Slope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0,2687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0,1328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0,1608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0,4103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cat__ChestPainType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0,1432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0,0913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0,0760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0,1926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num__MaxHR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0,1083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0,0539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0,0693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0,1296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num__Oldpeak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0,1030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0,0602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0,0629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0,1257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cat__ExerciseAngina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0,0860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0,0916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0,0199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0,1082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num__Cholesterol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0,0739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0,0328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0,0517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0,0925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num__Age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0,0669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0,0316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0,0429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0,0835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num__RestingBP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0,0585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0,0227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0,0418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0,0747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cat__Sex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0,0388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0,0227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0,0225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0,0527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num__FastingBS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0,0323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0,0254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0,0478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15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Importância por permutação no conjunto de teste</w:t>
      </w:r>
    </w:p>
    <w:tbl>
      <w:tblPr>
        <w:tblW w:type="dxa" w:w="7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2000"/>
        <w:gridCol w:w="200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ΔF1 médio</w:t>
            </w:r>
          </w:p>
        </w:tc>
        <w:tc>
          <w:tcPr>
            <w:tcW w:type="dxa" w:w="2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Desvio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ST_Slope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0,1367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0,0229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ChestPainType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0,0391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0,0112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Sex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0,0269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0,0051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ExerciseAngina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0,0259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0,0076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Oldpeak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0,0226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0,0149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RestingBP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0,0189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0,0081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FastingBS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0,0182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0,0054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Cholesterol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0,0163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0,0104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5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Dez maiores importâncias médias do Random Forest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143500" cy="29146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a partir da execução do notebook (2026).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6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Dispersão das importâncias entre as árvores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334000" cy="26384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a partir da execução do notebook (2026).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7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Importância por permutação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143500" cy="29146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a partir da execução do notebook (2026).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8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Árvore representativa da floresta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715000" cy="32004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a partir da execução do notebook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</w:rPr>
        <w:t xml:space="preserve">ST_Slope</w:t>
      </w:r>
      <w:r>
        <w:rPr>
          <w:rFonts w:ascii="Times New Roman" w:cs="Times New Roman" w:eastAsia="Times New Roman" w:hAnsi="Times New Roman"/>
        </w:rPr>
        <w:t xml:space="preserve"> é a variável dominante nas duas medidas (importância de 0,2687 por impureza e ΔF1 de 0,1367 na permutação), seguida por </w:t>
      </w:r>
      <w:r>
        <w:rPr>
          <w:rFonts w:ascii="Times New Roman" w:cs="Times New Roman" w:eastAsia="Times New Roman" w:hAnsi="Times New Roman"/>
          <w:i/>
          <w:iCs/>
        </w:rPr>
        <w:t xml:space="preserve">ChestPainType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i/>
          <w:iCs/>
        </w:rPr>
        <w:t xml:space="preserve">MaxHR</w:t>
      </w:r>
      <w:r>
        <w:rPr>
          <w:rFonts w:ascii="Times New Roman" w:cs="Times New Roman" w:eastAsia="Times New Roman" w:hAnsi="Times New Roman"/>
        </w:rPr>
        <w:t xml:space="preserve"> e </w:t>
      </w:r>
      <w:r>
        <w:rPr>
          <w:rFonts w:ascii="Times New Roman" w:cs="Times New Roman" w:eastAsia="Times New Roman" w:hAnsi="Times New Roman"/>
          <w:i/>
          <w:iCs/>
        </w:rPr>
        <w:t xml:space="preserve">Oldpeak</w:t>
      </w:r>
      <w:r>
        <w:rPr>
          <w:rFonts w:ascii="Times New Roman" w:cs="Times New Roman" w:eastAsia="Times New Roman" w:hAnsi="Times New Roman"/>
        </w:rPr>
        <w:t xml:space="preserve">. A dispersão de </w:t>
      </w:r>
      <w:r>
        <w:rPr>
          <w:rFonts w:ascii="Times New Roman" w:cs="Times New Roman" w:eastAsia="Times New Roman" w:hAnsi="Times New Roman"/>
          <w:i/>
          <w:iCs/>
        </w:rPr>
        <w:t xml:space="preserve">ST_Slope</w:t>
      </w:r>
      <w:r>
        <w:rPr>
          <w:rFonts w:ascii="Times New Roman" w:cs="Times New Roman" w:eastAsia="Times New Roman" w:hAnsi="Times New Roman"/>
        </w:rPr>
        <w:t xml:space="preserve"> é elevada (desvio de 0,1328), o que é esperado para uma variável categórica com três níveis: em algumas árvores, ela concentra quase toda a decisão; em outras, é secundária. Na codificação one-hot, a importância divide-se entre </w:t>
      </w:r>
      <w:r>
        <w:rPr>
          <w:rFonts w:ascii="Times New Roman" w:cs="Times New Roman" w:eastAsia="Times New Roman" w:hAnsi="Times New Roman"/>
          <w:i/>
          <w:iCs/>
        </w:rPr>
        <w:t xml:space="preserve">ST_Slope_Up</w:t>
      </w:r>
      <w:r>
        <w:rPr>
          <w:rFonts w:ascii="Times New Roman" w:cs="Times New Roman" w:eastAsia="Times New Roman" w:hAnsi="Times New Roman"/>
        </w:rPr>
        <w:t xml:space="preserve"> (0,2001) e </w:t>
      </w:r>
      <w:r>
        <w:rPr>
          <w:rFonts w:ascii="Times New Roman" w:cs="Times New Roman" w:eastAsia="Times New Roman" w:hAnsi="Times New Roman"/>
          <w:i/>
          <w:iCs/>
        </w:rPr>
        <w:t xml:space="preserve">ST_Slope_Flat</w:t>
      </w:r>
      <w:r>
        <w:rPr>
          <w:rFonts w:ascii="Times New Roman" w:cs="Times New Roman" w:eastAsia="Times New Roman" w:hAnsi="Times New Roman"/>
        </w:rPr>
        <w:t xml:space="preserve"> (0,1108), e a soma dos dois níveis é comparável à importância do atributo único na versão ordinal — um efeito conhecido da codificação one-hot.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Em contraste, a árvore escolhida (ordinal) utilizava </w:t>
      </w:r>
      <w:r>
        <w:rPr>
          <w:rFonts w:ascii="Times New Roman" w:cs="Times New Roman" w:eastAsia="Times New Roman" w:hAnsi="Times New Roman"/>
          <w:i/>
          <w:iCs/>
        </w:rPr>
        <w:t xml:space="preserve">ExerciseAngina</w:t>
      </w:r>
      <w:r>
        <w:rPr>
          <w:rFonts w:ascii="Times New Roman" w:cs="Times New Roman" w:eastAsia="Times New Roman" w:hAnsi="Times New Roman"/>
        </w:rPr>
        <w:t xml:space="preserve"> e </w:t>
      </w:r>
      <w:r>
        <w:rPr>
          <w:rFonts w:ascii="Times New Roman" w:cs="Times New Roman" w:eastAsia="Times New Roman" w:hAnsi="Times New Roman"/>
          <w:i/>
          <w:iCs/>
        </w:rPr>
        <w:t xml:space="preserve">ST_Slope</w:t>
      </w:r>
      <w:r>
        <w:rPr>
          <w:rFonts w:ascii="Times New Roman" w:cs="Times New Roman" w:eastAsia="Times New Roman" w:hAnsi="Times New Roman"/>
        </w:rPr>
        <w:t xml:space="preserve"> na raiz e deixava </w:t>
      </w:r>
      <w:r>
        <w:rPr>
          <w:rFonts w:ascii="Times New Roman" w:cs="Times New Roman" w:eastAsia="Times New Roman" w:hAnsi="Times New Roman"/>
          <w:i/>
          <w:iCs/>
        </w:rPr>
        <w:t xml:space="preserve">ChestPainType</w:t>
      </w:r>
      <w:r>
        <w:rPr>
          <w:rFonts w:ascii="Times New Roman" w:cs="Times New Roman" w:eastAsia="Times New Roman" w:hAnsi="Times New Roman"/>
        </w:rPr>
        <w:t xml:space="preserve"> em terceiro lugar; a floresta distribui a decisão entre centenas de árvores, e </w:t>
      </w:r>
      <w:r>
        <w:rPr>
          <w:rFonts w:ascii="Times New Roman" w:cs="Times New Roman" w:eastAsia="Times New Roman" w:hAnsi="Times New Roman"/>
          <w:i/>
          <w:iCs/>
        </w:rPr>
        <w:t xml:space="preserve">ChestPainType</w:t>
      </w:r>
      <w:r>
        <w:rPr>
          <w:rFonts w:ascii="Times New Roman" w:cs="Times New Roman" w:eastAsia="Times New Roman" w:hAnsi="Times New Roman"/>
        </w:rPr>
        <w:t xml:space="preserve"> sobe para a segunda posição. A interpretação deixa, assim, de se basear em “um caminho de decisão” e passa a responder à pergunta “quais variáveis reduzem a impureza com maior frequência”.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Comparação Random Forest × Árvore de Decisão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Visão geral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16 confronta as duas abordagens nos quatro cenários comparáveis.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16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Comparação entre Árvore de Decisão e Random Forest por cenário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6"/>
        <w:gridCol w:w="1150"/>
        <w:gridCol w:w="1100"/>
        <w:gridCol w:w="1050"/>
        <w:gridCol w:w="1000"/>
        <w:gridCol w:w="900"/>
        <w:gridCol w:w="1300"/>
        <w:gridCol w:w="1300"/>
      </w:tblGrid>
      <w:tr>
        <w:trPr>
          <w:cantSplit/>
          <w:tblHeader/>
        </w:trPr>
        <w:tc>
          <w:tcPr>
            <w:tcW w:type="dxa" w:w="16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Cenário</w:t>
            </w:r>
          </w:p>
        </w:tc>
        <w:tc>
          <w:tcPr>
            <w:tcW w:type="dxa" w:w="11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F1_c1 árvore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F1_c1 RF</w:t>
            </w:r>
          </w:p>
        </w:tc>
        <w:tc>
          <w:tcPr>
            <w:tcW w:type="dxa" w:w="10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ΔF1_c1</w:t>
            </w:r>
          </w:p>
        </w:tc>
        <w:tc>
          <w:tcPr>
            <w:tcW w:type="dxa" w:w="1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FN árvore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FN RF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F1_macro árvore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F1_macro RF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one-hot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0,8308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0,8932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0,0624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0,8200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0,8787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ordinal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0,8387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0,8955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0,0568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0,8035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0,8849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sem engenharia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0,8387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0,9091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0,0704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0,8035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0,8948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 engenharia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0,8545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0,8558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0,0012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0,8192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0,8341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floresta foi superior em todos os cenários comparáveis, tanto no F1 da classe 1 (Δ entre 0,0012 e 0,0704) quanto no F1 macro. Apresentou menos falsos negativos em dois dos quatro cenários (one-hot: 10 contra 21; sem engenharia: 7 contra 11) e menos falsos positivos em três deles (ordinal: 9 contra 24; sem engenharia: 12 contra 24; com engenharia: 17 contra 24), com empate no one-hot (12 contra 12).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Três resultados merecem destaque. Primeiro, o melhor resultado no teste foi obtido pela floresta com todos os atributos (one-hot, </w:t>
      </w:r>
      <w:r>
        <w:rPr>
          <w:rFonts w:ascii="Times New Roman" w:cs="Times New Roman" w:eastAsia="Times New Roman" w:hAnsi="Times New Roman"/>
          <w:i/>
          <w:iCs/>
        </w:rPr>
        <w:t xml:space="preserve">class_weight=None</w:t>
      </w:r>
      <w:r>
        <w:rPr>
          <w:rFonts w:ascii="Times New Roman" w:cs="Times New Roman" w:eastAsia="Times New Roman" w:hAnsi="Times New Roman"/>
        </w:rPr>
        <w:t xml:space="preserve">): F1_c1 de 0,9091, com 7 FN e 12 FP, contra 0,8545, 8 FN e 24 FP da melhor árvore (</w:t>
      </w:r>
      <w:r>
        <w:rPr>
          <w:rFonts w:ascii="Times New Roman" w:cs="Times New Roman" w:eastAsia="Times New Roman" w:hAnsi="Times New Roman"/>
          <w:i/>
          <w:iCs/>
        </w:rPr>
        <w:t xml:space="preserve">com_engenharia</w:t>
      </w:r>
      <w:r>
        <w:rPr>
          <w:rFonts w:ascii="Times New Roman" w:cs="Times New Roman" w:eastAsia="Times New Roman" w:hAnsi="Times New Roman"/>
        </w:rPr>
        <w:t xml:space="preserve">). Segundo, o modelo escolhido pela busca (CV) — a floresta one-hot com </w:t>
      </w:r>
      <w:r>
        <w:rPr>
          <w:rFonts w:ascii="Times New Roman" w:cs="Times New Roman" w:eastAsia="Times New Roman" w:hAnsi="Times New Roman"/>
          <w:i/>
          <w:iCs/>
        </w:rPr>
        <w:t xml:space="preserve">class_weight='balanced'</w:t>
      </w:r>
      <w:r>
        <w:rPr>
          <w:rFonts w:ascii="Times New Roman" w:cs="Times New Roman" w:eastAsia="Times New Roman" w:hAnsi="Times New Roman"/>
        </w:rPr>
        <w:t xml:space="preserve"> — alcançou F1_CV de 0,8809, F1_c1 de 0,8932 e 10 FN, desempenho ainda superior ao da melhor árvore no teste e com o melhor F1_CV entre as duas abordagens (0,8604 na árvore). Terceiro, a árvore exibe um ponto forte relativo: seu melhor F1_c1 (0,8545) é obtido com engenharia de atributos e chega a 8 FN, próximo dos 7 FN da melhor floresta, porém com o dobro de falsos positivos (24 contra 12) e F1_macro inferior (0,8192 contra 0,8948).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Validação cruzada × teste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17 compara o F1 obtido na validação cruzada com o F1 da classe 1 no conjunto de teste.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17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F1 na validação cruzada e no conjunto de teste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6"/>
        <w:gridCol w:w="2200"/>
        <w:gridCol w:w="1600"/>
        <w:gridCol w:w="1800"/>
        <w:gridCol w:w="1800"/>
      </w:tblGrid>
      <w:tr>
        <w:trPr>
          <w:cantSplit/>
          <w:tblHeader/>
        </w:trPr>
        <w:tc>
          <w:tcPr>
            <w:tcW w:type="dxa" w:w="20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Cenário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F1_CV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F1_c1 (teste)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Teste − CV</w:t>
            </w:r>
          </w:p>
        </w:tc>
      </w:tr>
      <w:tr>
        <w:trPr>
          <w:cantSplit/>
        </w:trPr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Árvore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one-hot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0,8550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0,8308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−0,0242</w:t>
            </w:r>
          </w:p>
        </w:tc>
      </w:tr>
      <w:tr>
        <w:trPr>
          <w:cantSplit/>
        </w:trPr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Árvore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ordinal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0,8604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0,8387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−0,0217</w:t>
            </w:r>
          </w:p>
        </w:tc>
      </w:tr>
      <w:tr>
        <w:trPr>
          <w:cantSplit/>
        </w:trPr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one-hot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0,8809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0,8932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0,0123</w:t>
            </w:r>
          </w:p>
        </w:tc>
      </w:tr>
      <w:tr>
        <w:trPr>
          <w:cantSplit/>
        </w:trPr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ordinal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0,8799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0,8955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0,0156</w:t>
            </w:r>
          </w:p>
        </w:tc>
      </w:tr>
      <w:tr>
        <w:trPr>
          <w:cantSplit/>
        </w:trPr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Árvore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sem_engenharia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0,8604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0,8387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−0,0217</w:t>
            </w:r>
          </w:p>
        </w:tc>
      </w:tr>
      <w:tr>
        <w:trPr>
          <w:cantSplit/>
        </w:trPr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Árvore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com_engenharia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0,7946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0,8545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0,0599</w:t>
            </w:r>
          </w:p>
        </w:tc>
      </w:tr>
      <w:tr>
        <w:trPr>
          <w:cantSplit/>
        </w:trPr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sem_engenharia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0,8744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0,9091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0,0347</w:t>
            </w:r>
          </w:p>
        </w:tc>
      </w:tr>
      <w:tr>
        <w:trPr>
          <w:cantSplit/>
        </w:trPr>
        <w:tc>
          <w:tcPr>
            <w:tcW w:type="dxa" w:w="20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com_engenharia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0,8775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0,8558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−0,0217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evidencia dois pontos. Em primeiro lugar, a floresta apresenta F1_CV superior ao da árvore em todas as configurações (0,8809 e 0,8799, contra 0,8604 e 0,8550); o ganho, portanto, não se restringe ao teste reservado, mas é consistente na validação repetida. Em segundo lugar, o teste é otimista para a floresta sem </w:t>
      </w:r>
      <w:r>
        <w:rPr>
          <w:rFonts w:ascii="Times New Roman" w:cs="Times New Roman" w:eastAsia="Times New Roman" w:hAnsi="Times New Roman"/>
          <w:i/>
          <w:iCs/>
        </w:rPr>
        <w:t xml:space="preserve">class_weight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Times New Roman" w:cs="Times New Roman" w:eastAsia="Times New Roman" w:hAnsi="Times New Roman"/>
          <w:i/>
          <w:iCs/>
        </w:rPr>
        <w:t xml:space="preserve">sem_engenharia</w:t>
      </w:r>
      <w:r>
        <w:rPr>
          <w:rFonts w:ascii="Times New Roman" w:cs="Times New Roman" w:eastAsia="Times New Roman" w:hAnsi="Times New Roman"/>
        </w:rPr>
        <w:t xml:space="preserve">: F1_CV de 0,8744 e F1 no teste de 0,9091), enquanto, para a configuração escolhida pela busca, o teste fica próximo da CV (0,8799 e 0,8955). Com 184 pacientes no teste, diferenças dessa ordem (0,03) situam-se dentro do ruído amostral, como os IC 95% deixam explícito.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Intervalos de confiança de 95% (F1 da classe 1)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18 apresenta os intervalos de confiança de 95% do F1 da classe 1 para as principais configurações.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18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Intervalos de confiança de 95% do F1 da classe 1</w:t>
      </w:r>
    </w:p>
    <w:tbl>
      <w:tblPr>
        <w:tblW w:type="dxa" w:w="8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00"/>
        <w:gridCol w:w="2000"/>
        <w:gridCol w:w="2800"/>
      </w:tblGrid>
      <w:tr>
        <w:trPr>
          <w:cantSplit/>
          <w:tblHeader/>
        </w:trPr>
        <w:tc>
          <w:tcPr>
            <w:tcW w:type="dxa" w:w="3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Modelo / cenário</w:t>
            </w:r>
          </w:p>
        </w:tc>
        <w:tc>
          <w:tcPr>
            <w:tcW w:type="dxa" w:w="2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F1_c1</w:t>
            </w:r>
          </w:p>
        </w:tc>
        <w:tc>
          <w:tcPr>
            <w:tcW w:type="dxa" w:w="2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IC 95%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Random Forest ordinal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0,8955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0,8469–0,9368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Random Forest one-hot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0,8932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0,8442–0,9347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Árvore ordinal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0,8387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0,7817–0,8879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Árvore one-hot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0,8308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0,7650–0,8865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Os intervalos da floresta e da árvore sobrepõem-se parcialmente (por exemplo, 0,8469–0,9368 para a floresta ordinal e 0,7817–0,8879 para a árvore ordinal), de modo que a superioridade da floresta não pode ser declarada estatisticamente conclusiva com este tamanho de teste. A conclusão defensável é que a floresta é consistentemente melhor ou equivalente, com vantagem clara em F1_CV, em F1_macro e no número de falsos positivos, embora o intervalo ainda admita empate.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Ablação comparada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19 compara o efeito da remoção de cada atributo nas duas abordagens, em ordem decrescente de ΔF1_c1.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19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Ablação comparada entre Árvore de Decisão e Random Forest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6"/>
        <w:gridCol w:w="1200"/>
        <w:gridCol w:w="1100"/>
        <w:gridCol w:w="1100"/>
        <w:gridCol w:w="1350"/>
        <w:gridCol w:w="1300"/>
        <w:gridCol w:w="1250"/>
      </w:tblGrid>
      <w:tr>
        <w:trPr>
          <w:cantSplit/>
          <w:tblHeader/>
        </w:trPr>
        <w:tc>
          <w:tcPr>
            <w:tcW w:type="dxa" w:w="21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F1_c1 árvore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F1_c1 RF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ΔF1_c1</w:t>
            </w:r>
          </w:p>
        </w:tc>
        <w:tc>
          <w:tcPr>
            <w:tcW w:type="dxa" w:w="13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F1_macro árvore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F1_macro RF</w:t>
            </w:r>
          </w:p>
        </w:tc>
        <w:tc>
          <w:tcPr>
            <w:tcW w:type="dxa" w:w="125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ΔF1_macro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sem_Oldpeak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0,7647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0,9005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0,1358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0,7360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0,8834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0,1473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sem_RestingECG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0,7647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0,8835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0,1188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0,7360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0,8677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0,1317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sem_Sex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0,7647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0,8804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0,1157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0,7360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0,8616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0,1256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sem_MaxHR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0,7890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0,9005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0,1115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0,7412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0,8834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0,1422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sem_ChestPainType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0,7647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0,8400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0,0753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0,7360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0,8248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0,0888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sem_Age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0,8952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0,0723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0,8149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0,8780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0,0631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sem_Cholesterol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0,8272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0,8986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0,0713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0,8204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0,8841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0,0637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sem_FastingBS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0,8272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0,8986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0,0713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0,8204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0,8841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0,0637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todos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0,8387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0,9091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0,0704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0,8035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0,8948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0,0913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sem_ST_Slope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0,7897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0,0703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0,7764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0,8467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0,0703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sem_RestingBP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0,8272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0,8900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0,0627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0,8204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0,8726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0,0523</w:t>
            </w:r>
          </w:p>
        </w:tc>
      </w:tr>
      <w:tr>
        <w:trPr>
          <w:cantSplit/>
        </w:trPr>
        <w:tc>
          <w:tcPr>
            <w:tcW w:type="dxa" w:w="21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sem_ExerciseAngina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0,8042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0,8627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0,0585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0,7988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0,8460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0,0472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floresta venceu em todos os 12 cenários de ablação, com ΔF1_c1 entre 0,0585 e 0,1358, e dois padrões merecem atenção. O primeiro é que a árvore é muito mais sensível à remoção de atributos: a exclusão de </w:t>
      </w:r>
      <w:r>
        <w:rPr>
          <w:rFonts w:ascii="Times New Roman" w:cs="Times New Roman" w:eastAsia="Times New Roman" w:hAnsi="Times New Roman"/>
          <w:i/>
          <w:iCs/>
        </w:rPr>
        <w:t xml:space="preserve">Oldpeak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i/>
          <w:iCs/>
        </w:rPr>
        <w:t xml:space="preserve">RestingECG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i/>
          <w:iCs/>
        </w:rPr>
        <w:t xml:space="preserve">Sex</w:t>
      </w:r>
      <w:r>
        <w:rPr>
          <w:rFonts w:ascii="Times New Roman" w:cs="Times New Roman" w:eastAsia="Times New Roman" w:hAnsi="Times New Roman"/>
        </w:rPr>
        <w:t xml:space="preserve"> ou </w:t>
      </w:r>
      <w:r>
        <w:rPr>
          <w:rFonts w:ascii="Times New Roman" w:cs="Times New Roman" w:eastAsia="Times New Roman" w:hAnsi="Times New Roman"/>
          <w:i/>
          <w:iCs/>
        </w:rPr>
        <w:t xml:space="preserve">ChestPainType</w:t>
      </w:r>
      <w:r>
        <w:rPr>
          <w:rFonts w:ascii="Times New Roman" w:cs="Times New Roman" w:eastAsia="Times New Roman" w:hAnsi="Times New Roman"/>
        </w:rPr>
        <w:t xml:space="preserve"> reduz o F1_c1 da árvore para 0,7647 (Δ de até 0,1358), enquanto a floresta se mantém entre 0,8400 e 0,9091. Essa é a contrapartida prática da redução de variância: o </w:t>
      </w:r>
      <w:r>
        <w:rPr>
          <w:rFonts w:ascii="Times New Roman" w:cs="Times New Roman" w:eastAsia="Times New Roman" w:hAnsi="Times New Roman"/>
          <w:i/>
          <w:iCs/>
        </w:rPr>
        <w:t xml:space="preserve">ensemble</w:t>
      </w:r>
      <w:r>
        <w:rPr>
          <w:rFonts w:ascii="Times New Roman" w:cs="Times New Roman" w:eastAsia="Times New Roman" w:hAnsi="Times New Roman"/>
        </w:rPr>
        <w:t xml:space="preserve"> compensa a ausência de uma variável distribuindo a decisão entre as demais.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segundo padrão é que a ordenação das variáveis relevantes é semelhante nas duas abordagens: em ambas, </w:t>
      </w:r>
      <w:r>
        <w:rPr>
          <w:rFonts w:ascii="Times New Roman" w:cs="Times New Roman" w:eastAsia="Times New Roman" w:hAnsi="Times New Roman"/>
          <w:i/>
          <w:iCs/>
        </w:rPr>
        <w:t xml:space="preserve">ST_Slope</w:t>
      </w:r>
      <w:r>
        <w:rPr>
          <w:rFonts w:ascii="Times New Roman" w:cs="Times New Roman" w:eastAsia="Times New Roman" w:hAnsi="Times New Roman"/>
        </w:rPr>
        <w:t xml:space="preserve"> e </w:t>
      </w:r>
      <w:r>
        <w:rPr>
          <w:rFonts w:ascii="Times New Roman" w:cs="Times New Roman" w:eastAsia="Times New Roman" w:hAnsi="Times New Roman"/>
          <w:i/>
          <w:iCs/>
        </w:rPr>
        <w:t xml:space="preserve">ChestPainType</w:t>
      </w:r>
      <w:r>
        <w:rPr>
          <w:rFonts w:ascii="Times New Roman" w:cs="Times New Roman" w:eastAsia="Times New Roman" w:hAnsi="Times New Roman"/>
        </w:rPr>
        <w:t xml:space="preserve"> estão entre as remoções mais custosas (na floresta, o F1_c1 cai para 0,8600 e 0,8400, respectivamente), o que é coerente com a análise de importância das variáveis.</w:t>
      </w:r>
    </w:p>
    <w:p>
      <w:pPr>
        <w:pStyle w:val="Heading2"/>
        <w:keepNext/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 Leitura crítica: por que a floresta vence e o que isso custa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Ganho (redução de variância).</w:t>
      </w:r>
      <w:r>
        <w:rPr>
          <w:rFonts w:ascii="Times New Roman" w:cs="Times New Roman" w:eastAsia="Times New Roman" w:hAnsi="Times New Roman"/>
        </w:rPr>
        <w:t xml:space="preserve"> Uma árvore única é um estimador de alta variância: pequenas mudanças no conjunto de treino produzem árvores diferentes, e a árvore selecionada tem profundidade 3 (poucos cortes e muito viés) justamente porque profundidades maiores não generalizavam. A floresta altera esse compromisso: mantém árvores profundas (profundidade média entre 7 e 10) e calcula a média de centenas de predições, o que reduz a variância sem aumentar o viés. O resultado observado — F1_CV de 0,8604 (árvore) para 0,8809 (floresta) e F1_c1 no teste de 0,8545 para 0,9091 — corresponde exatamente ao esperado teoricamente.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Custo computacional.</w:t>
      </w:r>
      <w:r>
        <w:rPr>
          <w:rFonts w:ascii="Times New Roman" w:cs="Times New Roman" w:eastAsia="Times New Roman" w:hAnsi="Times New Roman"/>
        </w:rPr>
        <w:t xml:space="preserve"> A busca da floresta levou 26,5 minutos (864 combinações × 10 </w:t>
      </w:r>
      <w:r>
        <w:rPr>
          <w:rFonts w:ascii="Times New Roman" w:cs="Times New Roman" w:eastAsia="Times New Roman" w:hAnsi="Times New Roman"/>
          <w:i/>
          <w:iCs/>
        </w:rPr>
        <w:t xml:space="preserve">folds</w:t>
      </w:r>
      <w:r>
        <w:rPr>
          <w:rFonts w:ascii="Times New Roman" w:cs="Times New Roman" w:eastAsia="Times New Roman" w:hAnsi="Times New Roman"/>
        </w:rPr>
        <w:t xml:space="preserve"> × 300 árvores, nas duas codificações), contra poucos segundos da árvore. Em contrapartida, a predição continua barata: uma floresta de 300 árvores é avaliada em milissegundos para centenas de pacientes.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Custo de interpretabilidade.</w:t>
      </w:r>
      <w:r>
        <w:rPr>
          <w:rFonts w:ascii="Times New Roman" w:cs="Times New Roman" w:eastAsia="Times New Roman" w:hAnsi="Times New Roman"/>
        </w:rPr>
        <w:t xml:space="preserve"> A árvore fornece um caminho de decisão auditável (</w:t>
      </w:r>
      <w:r>
        <w:rPr>
          <w:rFonts w:ascii="Times New Roman" w:cs="Times New Roman" w:eastAsia="Times New Roman" w:hAnsi="Times New Roman"/>
          <w:i/>
          <w:iCs/>
        </w:rPr>
        <w:t xml:space="preserve">ExerciseAngina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Times New Roman" w:cs="Times New Roman" w:eastAsia="Times New Roman" w:hAnsi="Times New Roman"/>
          <w:i/>
          <w:iCs/>
        </w:rPr>
        <w:t xml:space="preserve">ST_Slope</w:t>
      </w:r>
      <w:r>
        <w:rPr>
          <w:rFonts w:ascii="Times New Roman" w:cs="Times New Roman" w:eastAsia="Times New Roman" w:hAnsi="Times New Roman"/>
        </w:rPr>
        <w:t xml:space="preserve"> → ...), útil para explicar o modelo a um clínico. A floresta exige importância agregada, dispersão entre árvores e importância por permutação — três artefatos produzidos neste trabalho — e, ainda assim, não oferece uma regra única. Para triagem, a diferença de desempenho favorece a floresta; para explicabilidade regulatória, a árvore leva vantagem.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Engenharia de atributos.</w:t>
      </w:r>
      <w:r>
        <w:rPr>
          <w:rFonts w:ascii="Times New Roman" w:cs="Times New Roman" w:eastAsia="Times New Roman" w:hAnsi="Times New Roman"/>
        </w:rPr>
        <w:t xml:space="preserve"> Este é o resultado mais interessante da comparação: a engenharia beneficiou a árvore (F1_c1 de 0,8387 para 0,8545) e prejudicou a floresta (de 0,9091 para 0,8558). A interpretação é direta: as razões foram concebidas para oferecer à árvore única cortes “diagonais” que ela não consegue representar; a floresta, por sua vez, já constrói essa fronteira combinando muitos cortes, e os atributos adicionais apenas introduzem ruído e diluem a seleção aleatória de variáveis em cada nó (</w:t>
      </w:r>
      <w:r>
        <w:rPr>
          <w:rFonts w:ascii="Times New Roman" w:cs="Times New Roman" w:eastAsia="Times New Roman" w:hAnsi="Times New Roman"/>
          <w:i/>
          <w:iCs/>
        </w:rPr>
        <w:t xml:space="preserve">max_features='sqrt'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MLflow: registro e comparação dos experimentos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Todos os experimentos foram registrados no mesmo banco SQLite (</w:t>
      </w:r>
      <w:r>
        <w:rPr>
          <w:rFonts w:ascii="Times New Roman" w:cs="Times New Roman" w:eastAsia="Times New Roman" w:hAnsi="Times New Roman"/>
          <w:i/>
          <w:iCs/>
        </w:rPr>
        <w:t xml:space="preserve">mlflow.db</w:t>
      </w:r>
      <w:r>
        <w:rPr>
          <w:rFonts w:ascii="Times New Roman" w:cs="Times New Roman" w:eastAsia="Times New Roman" w:hAnsi="Times New Roman"/>
        </w:rPr>
        <w:t xml:space="preserve">) e no mesmo servidor de rastreamento local, organizados em dois experimentos, descritos na Tabela 20.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20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Experimentos registrados no MLflow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6"/>
        <w:gridCol w:w="2300"/>
        <w:gridCol w:w="1300"/>
        <w:gridCol w:w="3000"/>
      </w:tblGrid>
      <w:tr>
        <w:trPr>
          <w:cantSplit/>
          <w:tblHeader/>
        </w:trPr>
        <w:tc>
          <w:tcPr>
            <w:tcW w:type="dxa" w:w="28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Experimento</w:t>
            </w:r>
          </w:p>
        </w:tc>
        <w:tc>
          <w:tcPr>
            <w:tcW w:type="dxa" w:w="23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Execuções registradas</w:t>
            </w:r>
          </w:p>
        </w:tc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Artefatos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heart_failure_random_forest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RandomForestClassifier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(300 árvores)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Modelo, matrizes de confusão, importâncias, CSVs, ZIP</w:t>
            </w:r>
          </w:p>
        </w:tc>
      </w:tr>
      <w:tr>
        <w:trPr>
          <w:cantSplit/>
        </w:trPr>
        <w:tc>
          <w:tcPr>
            <w:tcW w:type="dxa" w:w="28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heart_failure_arvore_decisao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DecisionTreeClassifier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Modelo, matrizes de confusão, importâncias das variáveis, CSVs, ZIP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As execuções (</w:t>
      </w:r>
      <w:r>
        <w:rPr>
          <w:rFonts w:ascii="Times New Roman" w:cs="Times New Roman" w:eastAsia="Times New Roman" w:hAnsi="Times New Roman"/>
          <w:i/>
          <w:iCs/>
        </w:rPr>
        <w:t xml:space="preserve">runs</w:t>
      </w:r>
      <w:r>
        <w:rPr>
          <w:rFonts w:ascii="Times New Roman" w:cs="Times New Roman" w:eastAsia="Times New Roman" w:hAnsi="Times New Roman"/>
        </w:rPr>
        <w:t xml:space="preserve">) que compõem o experimento da floresta são apresentadas na Tabela 21.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21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Execuções do experimento do Random Forest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4806"/>
      </w:tblGrid>
      <w:tr>
        <w:trPr>
          <w:cantSplit/>
          <w:tblHeader/>
        </w:trPr>
        <w:tc>
          <w:tcPr>
            <w:tcW w:type="dxa" w:w="46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Execução</w:t>
            </w:r>
          </w:p>
        </w:tc>
        <w:tc>
          <w:tcPr>
            <w:tcW w:type="dxa" w:w="48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random_forest_onehot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random_forest_ordinal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Busca em grade (864 combinações), métricas de CV, OOB, modelo e variações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baseline_classe_majoritaria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DummyClassifier(most_frequent)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ablacao_atributos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(+ 12 filhas)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Remoção de um atributo por vez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engenharia_features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sem_engenharia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com_engenharia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)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Comparação com os cinco atributos derivados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sensibilidade_n_estimators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(+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arvores_100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arvores_300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arvores_500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arvores_800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)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Efeito do número de árvores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comparacao_rf_vs_arvore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Deltas de F1_c1, F1_macro, revocação e FN em relação à árvore, com as tabelas comparativas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relatorio_artefatos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Todos os arquivos utilizados neste relatório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Para reproduzir e comparar os experimentos, basta executar o comando a seguir:</w:t>
      </w:r>
    </w:p>
    <w:p>
      <w:pPr>
        <w:spacing w:after="120" w:before="120" w:line="240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mlflow ui --backend-store-uri sqlite:///mlflow.db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</w:rPr>
        <w:t xml:space="preserve">Na interface (http://127.0.0.1:5000), devem-se selecionar os dois experimentos na aba </w:t>
      </w:r>
      <w:r>
        <w:rPr>
          <w:rFonts w:ascii="Times New Roman" w:cs="Times New Roman" w:eastAsia="Times New Roman" w:hAnsi="Times New Roman"/>
          <w:i/>
          <w:iCs/>
        </w:rPr>
        <w:t xml:space="preserve">Compare</w:t>
      </w:r>
      <w:r>
        <w:rPr>
          <w:rFonts w:ascii="Times New Roman" w:cs="Times New Roman" w:eastAsia="Times New Roman" w:hAnsi="Times New Roman"/>
        </w:rPr>
        <w:t xml:space="preserve"> para visualizar, em uma mesma tabela, as métricas </w:t>
      </w:r>
      <w:r>
        <w:rPr>
          <w:rFonts w:ascii="Times New Roman" w:cs="Times New Roman" w:eastAsia="Times New Roman" w:hAnsi="Times New Roman"/>
          <w:i/>
          <w:iCs/>
        </w:rPr>
        <w:t xml:space="preserve">f1_cv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i/>
          <w:iCs/>
        </w:rPr>
        <w:t xml:space="preserve">f1_treino_cv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i/>
          <w:iCs/>
        </w:rPr>
        <w:t xml:space="preserve">F1_c1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i/>
          <w:iCs/>
        </w:rPr>
        <w:t xml:space="preserve">F1_macro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i/>
          <w:iCs/>
        </w:rPr>
        <w:t xml:space="preserve">FN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i/>
          <w:iCs/>
        </w:rPr>
        <w:t xml:space="preserve">tempo_busca_s</w:t>
      </w:r>
      <w:r>
        <w:rPr>
          <w:rFonts w:ascii="Times New Roman" w:cs="Times New Roman" w:eastAsia="Times New Roman" w:hAnsi="Times New Roman"/>
        </w:rPr>
        <w:t xml:space="preserve"> e </w:t>
      </w:r>
      <w:r>
        <w:rPr>
          <w:rFonts w:ascii="Times New Roman" w:cs="Times New Roman" w:eastAsia="Times New Roman" w:hAnsi="Times New Roman"/>
          <w:i/>
          <w:iCs/>
        </w:rPr>
        <w:t xml:space="preserve">oob_score</w:t>
      </w:r>
      <w:r>
        <w:rPr>
          <w:rFonts w:ascii="Times New Roman" w:cs="Times New Roman" w:eastAsia="Times New Roman" w:hAnsi="Times New Roman"/>
        </w:rPr>
        <w:t xml:space="preserve"> (esta última disponível apenas para a floresta). As tabelas completas de execuções foram exportadas para </w:t>
      </w:r>
      <w:r>
        <w:rPr>
          <w:rFonts w:ascii="Times New Roman" w:cs="Times New Roman" w:eastAsia="Times New Roman" w:hAnsi="Times New Roman"/>
          <w:i/>
          <w:iCs/>
        </w:rPr>
        <w:t xml:space="preserve">docs/handle_forest/mlflow_runs_random_forest.csv</w:t>
      </w:r>
      <w:r>
        <w:rPr>
          <w:rFonts w:ascii="Times New Roman" w:cs="Times New Roman" w:eastAsia="Times New Roman" w:hAnsi="Times New Roman"/>
        </w:rPr>
        <w:t xml:space="preserve"> e </w:t>
      </w:r>
      <w:r>
        <w:rPr>
          <w:rFonts w:ascii="Times New Roman" w:cs="Times New Roman" w:eastAsia="Times New Roman" w:hAnsi="Times New Roman"/>
          <w:i/>
          <w:iCs/>
        </w:rPr>
        <w:t xml:space="preserve">docs/handle_forest/mlflow_runs_arvore_decisao.csv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Discussão e trabalhos relacionados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Tabela 22 relaciona os trabalhos da literatura que fundamentam as escolhas deste estudo.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22 –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Trabalhos relacionados e sua relação com este estudo</w:t>
      </w:r>
    </w:p>
    <w:tbl>
      <w:tblPr>
        <w:tblW w:type="dxa" w:w="94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6"/>
        <w:gridCol w:w="3300"/>
        <w:gridCol w:w="3100"/>
      </w:tblGrid>
      <w:tr>
        <w:trPr>
          <w:cantSplit/>
          <w:tblHeader/>
        </w:trPr>
        <w:tc>
          <w:tcPr>
            <w:tcW w:type="dxa" w:w="300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Trabalho</w:t>
            </w:r>
          </w:p>
        </w:tc>
        <w:tc>
          <w:tcPr>
            <w:tcW w:type="dxa" w:w="33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Contribuição</w:t>
            </w:r>
          </w:p>
        </w:tc>
        <w:tc>
          <w:tcPr>
            <w:tcW w:type="dxa" w:w="3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Relação com este trabalho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Breiman (2001)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Propõe o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Random Forest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: agregação por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bagging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+ seleção aleatória de atributos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Fundamenta o modelo e a expectativa de redução de variância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Qadri et al. (2023),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IEEE Access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Técnica de engenharia de atributos para predição de doença cardíaca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Justifica a criação de atributos derivados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Abass et al. (2025), Springer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Compara LR, SVM, KNN, DT e RF com engenharia de atributos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Reforça a engenharia como etapa e a comparação DT × RF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Gárate-Escamilla et al. (2020),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Informatics in Medicine Unlocked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Seleção de atributos + PCA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Compara seleção e transformação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Hasnat et al. (2025), arXiv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Engenharia de atributos + SHAP + árvores substitutas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Interpretabilidade de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ensembles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Fernández-Delgado et al. (2014),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JMLR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Avaliação de 179 classificadores em 121 bases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Evidência de que o RF é um dos métodos mais consistentes sem ajuste fino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Page et al. (1970),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Circulation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Idade e colesterol total como preditores de DAC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Fundamenta idade e colesterol; a razão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Chol_por_Idade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é proposta deste trabalho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Folsom et al. (2003),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Diabetes Care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Fatores de risco para DAC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Contexto clínico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Detrano et al. (1989) / Janosi et al. (1988)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Base UCI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Heart Disease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Origem dos dados</w:t>
            </w:r>
          </w:p>
        </w:tc>
      </w:tr>
      <w:tr>
        <w:trPr>
          <w:cantSplit/>
        </w:trPr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Fox et al. (1971)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Fórmula FCmax ≈ 220 − idade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Base de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FC_pct_teorica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Por que a floresta venceu.</w:t>
      </w:r>
      <w:r>
        <w:rPr>
          <w:rFonts w:ascii="Times New Roman" w:cs="Times New Roman" w:eastAsia="Times New Roman" w:hAnsi="Times New Roman"/>
        </w:rPr>
        <w:t xml:space="preserve"> Breiman (2001) demonstra que a média de árvores descorrelacionadas reduz a variância do erro sem aumentar o viés. Neste trabalho, isso se traduziu em três efeitos observáveis: (i) F1_CV mais elevado; (ii) robustez à remoção de atributos na ablação; e (iii) menos falsos positivos com o mesmo número de falsos negativos. O ganho, porém, não foi gratuito: a busca em grade tornou-se cerca de duas ordens de grandeza mais cara, e a interpretação exigiu três tipos de análise.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Sobre a engenharia de atributos.</w:t>
      </w:r>
      <w:r>
        <w:rPr>
          <w:rFonts w:ascii="Times New Roman" w:cs="Times New Roman" w:eastAsia="Times New Roman" w:hAnsi="Times New Roman"/>
        </w:rPr>
        <w:t xml:space="preserve"> A literatura (Qadri et al., 2023; Abass et al., 2025) relata ganhos com atributos derivados em modelos simples, o que é compatível com o resultado obtido na árvore. Já o efeito negativo observado na floresta é consistente com a ideia de que o </w:t>
      </w:r>
      <w:r>
        <w:rPr>
          <w:rFonts w:ascii="Times New Roman" w:cs="Times New Roman" w:eastAsia="Times New Roman" w:hAnsi="Times New Roman"/>
          <w:i/>
          <w:iCs/>
        </w:rPr>
        <w:t xml:space="preserve">ensemble</w:t>
      </w:r>
      <w:r>
        <w:rPr>
          <w:rFonts w:ascii="Times New Roman" w:cs="Times New Roman" w:eastAsia="Times New Roman" w:hAnsi="Times New Roman"/>
        </w:rPr>
        <w:t xml:space="preserve"> já modela interações, e reforça a recomendação de testar a engenharia de atributos para cada modelo, em vez de assumi-la como ganho universal.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Este estudo apresenta as seguintes limitações: (i) a base é pequena (918 registros) e o conjunto de teste contém apenas 184 pacientes, o que resulta em intervalos de confiança largos e torna não conclusivas diferenças entre 0,01 e 0,03; (ii) utilizou-se uma única semente de divisão — a CV é repetida (5×2), mas o teste é único; (iii) </w:t>
      </w:r>
      <w:r>
        <w:rPr>
          <w:rFonts w:ascii="Times New Roman" w:cs="Times New Roman" w:eastAsia="Times New Roman" w:hAnsi="Times New Roman"/>
          <w:i/>
          <w:iCs/>
        </w:rPr>
        <w:t xml:space="preserve">n_estimators</w:t>
      </w:r>
      <w:r>
        <w:rPr>
          <w:rFonts w:ascii="Times New Roman" w:cs="Times New Roman" w:eastAsia="Times New Roman" w:hAnsi="Times New Roman"/>
        </w:rPr>
        <w:t xml:space="preserve"> foi fixado em 300 durante a busca, para igualar o orçamento da árvore, e valores maiores foram avaliados apenas com os melhores parâmetros; (iv) não foram testados o ajuste do limiar de decisão, a técnica SMOTE, a calibração de probabilidades, o </w:t>
      </w:r>
      <w:r>
        <w:rPr>
          <w:rFonts w:ascii="Times New Roman" w:cs="Times New Roman" w:eastAsia="Times New Roman" w:hAnsi="Times New Roman"/>
          <w:i/>
          <w:iCs/>
        </w:rPr>
        <w:t xml:space="preserve">stacking</w:t>
      </w:r>
      <w:r>
        <w:rPr>
          <w:rFonts w:ascii="Times New Roman" w:cs="Times New Roman" w:eastAsia="Times New Roman" w:hAnsi="Times New Roman"/>
        </w:rPr>
        <w:t xml:space="preserve"> nem a validação externa; e (v) a comparação com a árvore utiliza a execução registrada na etapa anterior, de modo que pequenas diferenças de versão de bibliotecas são possíveis, ainda que o protocolo seja idêntico.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 Conclusão e recomendações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melhor resultado no conjunto de teste foi obtido pelo </w:t>
      </w:r>
      <w:r>
        <w:rPr>
          <w:rFonts w:ascii="Times New Roman" w:cs="Times New Roman" w:eastAsia="Times New Roman" w:hAnsi="Times New Roman"/>
          <w:i/>
          <w:iCs/>
        </w:rPr>
        <w:t xml:space="preserve">Random Forest</w:t>
      </w:r>
      <w:r>
        <w:rPr>
          <w:rFonts w:ascii="Times New Roman" w:cs="Times New Roman" w:eastAsia="Times New Roman" w:hAnsi="Times New Roman"/>
        </w:rPr>
        <w:t xml:space="preserve"> com os 11 atributos (codificação one-hot e </w:t>
      </w:r>
      <w:r>
        <w:rPr>
          <w:rFonts w:ascii="Times New Roman" w:cs="Times New Roman" w:eastAsia="Times New Roman" w:hAnsi="Times New Roman"/>
          <w:i/>
          <w:iCs/>
        </w:rPr>
        <w:t xml:space="preserve">class_weight=None</w:t>
      </w:r>
      <w:r>
        <w:rPr>
          <w:rFonts w:ascii="Times New Roman" w:cs="Times New Roman" w:eastAsia="Times New Roman" w:hAnsi="Times New Roman"/>
        </w:rPr>
        <w:t xml:space="preserve">), com F1_c1 de 0,9091, 7 falsos negativos, 12 falsos positivos e F1_macro de 0,8948. Já o modelo mais robusto na validação cruzada foi o </w:t>
      </w:r>
      <w:r>
        <w:rPr>
          <w:rFonts w:ascii="Times New Roman" w:cs="Times New Roman" w:eastAsia="Times New Roman" w:hAnsi="Times New Roman"/>
          <w:i/>
          <w:iCs/>
        </w:rPr>
        <w:t xml:space="preserve">Random Forest</w:t>
      </w:r>
      <w:r>
        <w:rPr>
          <w:rFonts w:ascii="Times New Roman" w:cs="Times New Roman" w:eastAsia="Times New Roman" w:hAnsi="Times New Roman"/>
        </w:rPr>
        <w:t xml:space="preserve"> one-hot com </w:t>
      </w:r>
      <w:r>
        <w:rPr>
          <w:rFonts w:ascii="Times New Roman" w:cs="Times New Roman" w:eastAsia="Times New Roman" w:hAnsi="Times New Roman"/>
          <w:i/>
          <w:iCs/>
        </w:rPr>
        <w:t xml:space="preserve">class_weight='balanced'</w:t>
      </w:r>
      <w:r>
        <w:rPr>
          <w:rFonts w:ascii="Times New Roman" w:cs="Times New Roman" w:eastAsia="Times New Roman" w:hAnsi="Times New Roman"/>
        </w:rPr>
        <w:t xml:space="preserve">, com F1_CV de 0,8809, superior ao da árvore (0,8604).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Na comparação com a árvore, a floresta foi superior em todos os cenários (ΔF1_c1 entre 0,0585 e 0,1358 na ablação e entre 0,0012 e 0,0704 nos cenários principais), com melhor F1_CV, melhor F1_macro e menos falsos positivos. A engenharia de atributos beneficiou a árvore e prejudicou a floresta, o que indica que seu ganho depende do modelo e não deve ser assumido como universal. Na ablação, a manutenção de todos os atributos maximizou o F1_c1 nas duas abordagens, e a floresta mostrou-se bem menos sensível a remoções — a assinatura prática da redução de variância. Quanto ao número de árvores, 300 já capturam quase todo o ganho; 500 trazem melhora marginal, e 800 produzem resultado idêntico ao de 500 no teste.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Como recomendação clínica, para fins de triagem, a floresta é a escolha com melhor compromisso entre revocação e precisão da classe 1, enquanto a árvore permanece útil quando a explicabilidade do caminho de decisão for um requisito. Em ambos os casos, recomenda-se avaliar o ajuste do limiar de decisão e validar o modelo em base externa antes de qualquer uso real. Por fim, os dois experimentos registrados no MLflow (26 execuções da floresta e 111 da árvore) permitem reproduzir e comparar todos os resultados em uma única interface.</w:t>
      </w:r>
    </w:p>
    <w:p>
      <w:pPr>
        <w:pStyle w:val="Heading1"/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[1] BREIMAN, L. Random Forests. </w:t>
      </w:r>
      <w:r>
        <w:rPr>
          <w:rFonts w:ascii="Times New Roman" w:cs="Times New Roman" w:eastAsia="Times New Roman" w:hAnsi="Times New Roman"/>
          <w:b/>
          <w:bCs/>
        </w:rPr>
        <w:t xml:space="preserve">Machine Learning</w:t>
      </w:r>
      <w:r>
        <w:rPr>
          <w:rFonts w:ascii="Times New Roman" w:cs="Times New Roman" w:eastAsia="Times New Roman" w:hAnsi="Times New Roman"/>
        </w:rPr>
        <w:t xml:space="preserve">, v. 45, n. 1, p. 5–32, 2001. DOI: https://doi.org/10.1023/A:1010933404324.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[2] FEDESORIANO. </w:t>
      </w:r>
      <w:r>
        <w:rPr>
          <w:rFonts w:ascii="Times New Roman" w:cs="Times New Roman" w:eastAsia="Times New Roman" w:hAnsi="Times New Roman"/>
          <w:b/>
          <w:bCs/>
        </w:rPr>
        <w:t xml:space="preserve">Heart Failure Prediction Dataset</w:t>
      </w:r>
      <w:r>
        <w:rPr>
          <w:rFonts w:ascii="Times New Roman" w:cs="Times New Roman" w:eastAsia="Times New Roman" w:hAnsi="Times New Roman"/>
        </w:rPr>
        <w:t xml:space="preserve">. Kaggle, 2021. Disponível em: https://www.kaggle.com/datasets/fedesoriano/heart-failure-prediction.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[3] DETRANO, R. et al. International application of a new probability algorithm for the diagnosis of coronary artery disease. </w:t>
      </w:r>
      <w:r>
        <w:rPr>
          <w:rFonts w:ascii="Times New Roman" w:cs="Times New Roman" w:eastAsia="Times New Roman" w:hAnsi="Times New Roman"/>
          <w:b/>
          <w:bCs/>
        </w:rPr>
        <w:t xml:space="preserve">American Journal of Cardiology</w:t>
      </w:r>
      <w:r>
        <w:rPr>
          <w:rFonts w:ascii="Times New Roman" w:cs="Times New Roman" w:eastAsia="Times New Roman" w:hAnsi="Times New Roman"/>
        </w:rPr>
        <w:t xml:space="preserve">, 1989.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[4] JANOSI, A.; STEINBRUNN, W.; PFISTERER, M.; DETRANO, R. </w:t>
      </w:r>
      <w:r>
        <w:rPr>
          <w:rFonts w:ascii="Times New Roman" w:cs="Times New Roman" w:eastAsia="Times New Roman" w:hAnsi="Times New Roman"/>
          <w:b/>
          <w:bCs/>
        </w:rPr>
        <w:t xml:space="preserve">Heart Disease</w:t>
      </w:r>
      <w:r>
        <w:rPr>
          <w:rFonts w:ascii="Times New Roman" w:cs="Times New Roman" w:eastAsia="Times New Roman" w:hAnsi="Times New Roman"/>
        </w:rPr>
        <w:t xml:space="preserve">. UCI Machine Learning Repository, 1988.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[5] QADRI, A. M. et al. Effective Feature Engineering Technique for Heart Disease Prediction With Machine Learning. </w:t>
      </w:r>
      <w:r>
        <w:rPr>
          <w:rFonts w:ascii="Times New Roman" w:cs="Times New Roman" w:eastAsia="Times New Roman" w:hAnsi="Times New Roman"/>
          <w:b/>
          <w:bCs/>
        </w:rPr>
        <w:t xml:space="preserve">IEEE Access</w:t>
      </w:r>
      <w:r>
        <w:rPr>
          <w:rFonts w:ascii="Times New Roman" w:cs="Times New Roman" w:eastAsia="Times New Roman" w:hAnsi="Times New Roman"/>
        </w:rPr>
        <w:t xml:space="preserve">, 2023.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[6] ABASS, A.; BATHLA, G.; WASSON, V. Heart Disease Prediction Using Machine Learning with Feature Engineering. In: Soft Computing and Signal Processing (ICSCSP 2024). </w:t>
      </w:r>
      <w:r>
        <w:rPr>
          <w:rFonts w:ascii="Times New Roman" w:cs="Times New Roman" w:eastAsia="Times New Roman" w:hAnsi="Times New Roman"/>
          <w:b/>
          <w:bCs/>
        </w:rPr>
        <w:t xml:space="preserve">Lecture Notes in Networks and Systems</w:t>
      </w:r>
      <w:r>
        <w:rPr>
          <w:rFonts w:ascii="Times New Roman" w:cs="Times New Roman" w:eastAsia="Times New Roman" w:hAnsi="Times New Roman"/>
        </w:rPr>
        <w:t xml:space="preserve">, v. 1221. Springer, 2025, p. 697–709. DOI: https://doi.org/10.1007/978-981-96-0924-6_55.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[7] GÁRATE-ESCAMILLA, A. K.; HAJJAM EL HASSANI, A.; ANDRÈS, E. Classification models for heart disease prediction using feature selection and PCA. </w:t>
      </w:r>
      <w:r>
        <w:rPr>
          <w:rFonts w:ascii="Times New Roman" w:cs="Times New Roman" w:eastAsia="Times New Roman" w:hAnsi="Times New Roman"/>
          <w:b/>
          <w:bCs/>
        </w:rPr>
        <w:t xml:space="preserve">Informatics in Medicine Unlocked</w:t>
      </w:r>
      <w:r>
        <w:rPr>
          <w:rFonts w:ascii="Times New Roman" w:cs="Times New Roman" w:eastAsia="Times New Roman" w:hAnsi="Times New Roman"/>
        </w:rPr>
        <w:t xml:space="preserve">, 2020.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[8] HASNAT, M. A. et al. Interpretable Heart Disease Prediction via a Weighted Ensemble Model. </w:t>
      </w:r>
      <w:r>
        <w:rPr>
          <w:rFonts w:ascii="Times New Roman" w:cs="Times New Roman" w:eastAsia="Times New Roman" w:hAnsi="Times New Roman"/>
          <w:b/>
          <w:bCs/>
        </w:rPr>
        <w:t xml:space="preserve">arXiv:2511.01947</w:t>
      </w:r>
      <w:r>
        <w:rPr>
          <w:rFonts w:ascii="Times New Roman" w:cs="Times New Roman" w:eastAsia="Times New Roman" w:hAnsi="Times New Roman"/>
        </w:rPr>
        <w:t xml:space="preserve">, 2025.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[9] FERNÁNDEZ-DELGADO, M.; CERNADAS, E.; BARRO, S.; AMORIM, D. Do we need hundreds of classifiers to solve real world classification problems? </w:t>
      </w:r>
      <w:r>
        <w:rPr>
          <w:rFonts w:ascii="Times New Roman" w:cs="Times New Roman" w:eastAsia="Times New Roman" w:hAnsi="Times New Roman"/>
          <w:b/>
          <w:bCs/>
        </w:rPr>
        <w:t xml:space="preserve">Journal of Machine Learning Research</w:t>
      </w:r>
      <w:r>
        <w:rPr>
          <w:rFonts w:ascii="Times New Roman" w:cs="Times New Roman" w:eastAsia="Times New Roman" w:hAnsi="Times New Roman"/>
        </w:rPr>
        <w:t xml:space="preserve">, v. 15, p. 3133–3181, 2014.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[10] PAGE, I. H. et al. Prediction of Coronary Heart Disease Based on Clinical Suspicion, Age, Total Cholesterol, and Triglyceride. </w:t>
      </w:r>
      <w:r>
        <w:rPr>
          <w:rFonts w:ascii="Times New Roman" w:cs="Times New Roman" w:eastAsia="Times New Roman" w:hAnsi="Times New Roman"/>
          <w:b/>
          <w:bCs/>
        </w:rPr>
        <w:t xml:space="preserve">Circulation</w:t>
      </w:r>
      <w:r>
        <w:rPr>
          <w:rFonts w:ascii="Times New Roman" w:cs="Times New Roman" w:eastAsia="Times New Roman" w:hAnsi="Times New Roman"/>
        </w:rPr>
        <w:t xml:space="preserve">, v. 42, n. 4, p. 625–645, 1970. DOI: https://doi.org/10.1161/01.cir.42.4.625.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[11] FOLSOM, A. R. et al. Prediction of Coronary Heart Disease in Middle-Aged Adults With Diabetes. </w:t>
      </w:r>
      <w:r>
        <w:rPr>
          <w:rFonts w:ascii="Times New Roman" w:cs="Times New Roman" w:eastAsia="Times New Roman" w:hAnsi="Times New Roman"/>
          <w:b/>
          <w:bCs/>
        </w:rPr>
        <w:t xml:space="preserve">Diabetes Care</w:t>
      </w:r>
      <w:r>
        <w:rPr>
          <w:rFonts w:ascii="Times New Roman" w:cs="Times New Roman" w:eastAsia="Times New Roman" w:hAnsi="Times New Roman"/>
        </w:rPr>
        <w:t xml:space="preserve">, 2003.</w:t>
      </w:r>
    </w:p>
    <w:p>
      <w:pPr>
        <w:spacing w:after="4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[12] FOX, S. M.; NAUGHTON, J. P.; HASKELL, W. L. Physical activity and the prevention of coronary heart disease. </w:t>
      </w:r>
      <w:r>
        <w:rPr>
          <w:rFonts w:ascii="Times New Roman" w:cs="Times New Roman" w:eastAsia="Times New Roman" w:hAnsi="Times New Roman"/>
          <w:b/>
          <w:bCs/>
        </w:rPr>
        <w:t xml:space="preserve">Annals of Clinical Research</w:t>
      </w:r>
      <w:r>
        <w:rPr>
          <w:rFonts w:ascii="Times New Roman" w:cs="Times New Roman" w:eastAsia="Times New Roman" w:hAnsi="Times New Roman"/>
        </w:rPr>
        <w:t xml:space="preserve">, 1971.</w:t>
      </w:r>
    </w:p>
    <w:sectPr>
      <w:headerReference w:type="default" r:id="rId6"/>
      <w:pgSz w:w="12240" w:h="15840" w:orient="portrait"/>
      <w:pgMar w:top="1417" w:right="1417" w:bottom="1417" w:left="1417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ywemzs9atwumpnlh-yl2f" Type="http://schemas.openxmlformats.org/officeDocument/2006/relationships/hyperlink" Target="https://www.kaggle.com/datasets/fedesoriano/heart-failure-prediction" TargetMode="External"/><Relationship Id="rId8" Type="http://schemas.openxmlformats.org/officeDocument/2006/relationships/image" Target="media/adaedbf420fb23c267e587253a2570d194986981.png"/><Relationship Id="rId9" Type="http://schemas.openxmlformats.org/officeDocument/2006/relationships/image" Target="media/00a133c10e84ac1888b9f980f4a1d082f4aa9407.png"/><Relationship Id="rId10" Type="http://schemas.openxmlformats.org/officeDocument/2006/relationships/image" Target="media/8953682707f8203af58ac31d1b466753e29ee0cf.png"/><Relationship Id="rId11" Type="http://schemas.openxmlformats.org/officeDocument/2006/relationships/image" Target="media/d38fcb4859464fed59e38ad3b4781214db07e9ff.png"/><Relationship Id="rId12" Type="http://schemas.openxmlformats.org/officeDocument/2006/relationships/image" Target="media/d1e59946da25ecfb3cd0978cce86ac42ecd68e93.png"/><Relationship Id="rId13" Type="http://schemas.openxmlformats.org/officeDocument/2006/relationships/image" Target="media/9a5dd2452a327b49b282e436f77828b4e50887fd.png"/><Relationship Id="rId14" Type="http://schemas.openxmlformats.org/officeDocument/2006/relationships/image" Target="media/fb54f53b9152bd65b78f9e8195a2fc425a99cef6.png"/><Relationship Id="rId15" Type="http://schemas.openxmlformats.org/officeDocument/2006/relationships/image" Target="media/e9cfdd59ad6fb58d29fa45f502a8b41f91b6b29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Predição de Doença Cardíaca com Random Forest</dc:title>
  <dc:creator>Arthur Bohn; Diego Cordeiro; Keoma Coelho</dc:creator>
  <cp:lastModifiedBy>Un-named</cp:lastModifiedBy>
  <cp:revision>1</cp:revision>
  <dcterms:created xsi:type="dcterms:W3CDTF">2026-10-31T00:58:25.560Z</dcterms:created>
  <dcterms:modified xsi:type="dcterms:W3CDTF">2026-10-31T00:58:25.560Z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