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UNIVERSIDADE FEDERAL DO PIAUÍ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PROGRAMA DE PÓS-GRADUAÇÃO EM 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8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8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8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Disciplina: Aprendizado de Máquina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8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Predição de Doença Cardíaca com Árvore de Decisão: tratamento de dados, hiperparâmetros e engenharia de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8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0" w:line="3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before="0" w:line="3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Arthur Fernando Elvas Bohn (20261001997)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0" w:line="3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Diego Cordeiro de Oliveira (20261002180)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0" w:line="3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Keoma de Sousa Coelho (20261004952)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0" w:line="3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Professor: Dr. Vinicius Ponte Machado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72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72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jc w:val="center"/>
        <w:rPr/>
        <w:sectPr>
          <w:pgSz w:h="15840" w:w="12240" w:orient="portrait"/>
          <w:pgMar w:bottom="1417" w:top="1417" w:left="1417" w:right="1417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Teresina, 2</w:t>
      </w:r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 de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36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LISTA DE ABREVIATURAS E SIGLAS</w:t>
      </w:r>
      <w:r w:rsidDel="00000000" w:rsidR="00000000" w:rsidRPr="00000000">
        <w:rPr>
          <w:rtl w:val="0"/>
        </w:rPr>
      </w:r>
    </w:p>
    <w:tbl>
      <w:tblPr>
        <w:tblStyle w:val="Table1"/>
        <w:tblW w:w="940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00"/>
        <w:gridCol w:w="7406"/>
        <w:tblGridChange w:id="0">
          <w:tblGrid>
            <w:gridCol w:w="2000"/>
            <w:gridCol w:w="74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Pressão arterial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Blood Pressure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Validação cruzada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Cross-Validation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Doença arterial coronariana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ECG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Eletrocardiograma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Média harmônica entre precisão e revocação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Frequência cardíaca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Falso negativo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Falso positivo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Frequência cardíaca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Heart Rate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IC 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Intervalo de confiança de 95%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LVH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Hipertrofia ventricular esquerda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Left Ventricular Hypertrophy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M/F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Masculino/feminino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MLflow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Plataforma de rastreamento de experimentos de aprendizado de máquina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Análise de Componentes Principais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Principal Component Analysis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PPGCC/UFPI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Programa de Pós-Graduação em Ciência da Computação da Universidade Federal do Piauí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Prec. / Rec.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Precisão / revocação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recall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SHAP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SHapley Additive exPlanations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SMOTE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Synthetic Minority Over-sampling Technique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(sobreamostragem sintética)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SQLite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Banco de dados relacional leve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Segmento ST do eletrocardiograma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TA/ATA/NAP/ASY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Angina típica / angina atípica / dor não anginosa / assintomático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TN / 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Verdadeiro negativo / verdadeiro positivo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rtl w:val="0"/>
              </w:rPr>
              <w:t xml:space="preserve">University of California, Irvine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(repositório de conjuntos de dados)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0.0" w:type="dxa"/>
              <w:bottom w:w="20.0" w:type="dxa"/>
              <w:right w:w="8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Y/N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80.0" w:type="dxa"/>
              <w:bottom w:w="20.0" w:type="dxa"/>
              <w:right w:w="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36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Sim/não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  <w:sectPr>
          <w:type w:val="nextPage"/>
          <w:pgSz w:h="15840" w:w="12240" w:orient="portrait"/>
          <w:pgMar w:bottom="1417" w:top="1417" w:left="1417" w:right="1417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36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SUMÁRIO</w:t>
      </w:r>
      <w:r w:rsidDel="00000000" w:rsidR="00000000" w:rsidRPr="00000000">
        <w:rPr>
          <w:rtl w:val="0"/>
        </w:rPr>
      </w:r>
    </w:p>
    <w:sdt>
      <w:sdtPr>
        <w:id w:val="90617726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 Introdução e problema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 Base de dados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Origem e descrição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 Dicionário de atributos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2.3 Distribuição e qualidade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2.4 Estatísticas descritivas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 Metodologia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 Fluxo de processamento (pipeline)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 Validação e seleção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3.3 Fases do notebook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3.4 Engenharia de atributos testada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 Resultados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 Busca em grade e hiperparâmetros selecionados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 Comparação entre as codificações one-hot e ordinal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4.3 Referência (baseline) da classe majoritária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4.4 Ablação de atributos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4.5 Engenharia de atributos (razões e interações clínicas)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4.6 Matrizes de confusão e o erro de maior gravidade clínica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4.7 Síntese das transformações e impacto nas métricas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 MLflow: registro e tabulação dos experimentos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 Avaliação comparativa entre execuções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 Discussão e trabalhos relacionados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 Conclusão e recomendações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Referências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E">
      <w:pPr>
        <w:tabs>
          <w:tab w:val="right" w:leader="none" w:pos="9406"/>
        </w:tabs>
        <w:spacing w:after="0" w:before="0" w:line="360" w:lineRule="auto"/>
        <w:rPr/>
        <w:sectPr>
          <w:type w:val="nextPage"/>
          <w:pgSz w:h="15840" w:w="12240" w:orient="portrait"/>
          <w:pgMar w:bottom="1417" w:top="1417" w:left="1417" w:right="1417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Introdução 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 doenças cardiovasculares figuram entre as principais causas de morte no mundo. Um modelo de triagem capaz de identificar pacientes com maior probabilidade de doença cardíaca pode apoiar a priorização de exames e reduzir o tempo até o início do tratamento. Neste trabalho, o problema é formulado como uma classificação binária, em que a classe 1 corresponde a pacientes com doença cardíaca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HeartDisease = 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 a classe 0, a pacientes sem a doença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HeartDisease = 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erro de maior gravidade clínica é o falso negativo da classe 1, isto é, classificar um paciente doente como “não doente”. Nessa situação, o paciente deixa de receber tratamento e pode evoluir para óbito. Por esse motivo, além da acurácia, este trabalho dedica atenção especial à revocação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recall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 ao F1 da classe 1, bem como ao F1 macro, que equilibra o desempenho entre as duas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objetivo deste trabalho é avaliar uma Árvore de Decisão combinando tratamento dos dados, ajuste de hiperparâmetros e engenharia de atributos, com o registro de todos os experimentos na plataforma MLflow, de modo a comparar ganhos e perdas de forma reprodutível.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Base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2.1 Origem e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Utilizou-se a base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Heart Failure Prediction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disponibilizada no Kaggle por fedesoriano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Heart Failure Prediction – Kaggle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derivada da base UCI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Heart Disease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(Detrano et al., 1989) e resultante da combinação de cinco bases clínicas: Cleveland, Hungria, Suíça, Long Beach VA e Statlog. O arquivo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bases/heart.csv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contém 918 registros e 12 colunas, sendo 11 atributos preditores e a variável-alvo.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1"/>
        <w:spacing w:after="60" w:before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2.2 Dicionário de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1 descreve os atributos da base, seus tipos e significados.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Dicionário de atributos da base de dados</w:t>
      </w:r>
      <w:r w:rsidDel="00000000" w:rsidR="00000000" w:rsidRPr="00000000">
        <w:rPr>
          <w:rtl w:val="0"/>
        </w:rPr>
      </w:r>
    </w:p>
    <w:tbl>
      <w:tblPr>
        <w:tblStyle w:val="Table2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400"/>
        <w:gridCol w:w="1700"/>
        <w:gridCol w:w="5306"/>
        <w:tblGridChange w:id="0">
          <w:tblGrid>
            <w:gridCol w:w="2400"/>
            <w:gridCol w:w="1700"/>
            <w:gridCol w:w="530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Idade (anos)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Sex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Categórico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Sexo (M/F)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ChestPainType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Categórico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Tipo de dor no peito (TA, ATA, NAP, ASY)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RestingBP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Pressão arterial em repouso (mm Hg)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Cholesterol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Colesterol sérico (mm/dl)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FastingBS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Glicemia em jejum &gt; 120 mg/dl (1/0)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RestingECG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Categórico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ECG em repouso (Normal, ST, LVH)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Frequência cardíaca máxima atingida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ExerciseAngina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Categórico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Angina induzida por exercício (Y/N)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Numérico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Depressão do segmento ST induzida por exercício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ST_Slope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Categórico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Inclinação do segmento ST no pico (Up/Flat/Down)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HeartDisease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Alvo: 1 = doença; 0 = normal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adaptado de fedesoriano (2021). Legenda: TA = angina típica; ATA = angina atípica; NAP = dor não anginosa; ASY = assintomático; M/F = masculino/feminino; Y/N = sim/não; ST = segmento ST do eletrocardiograma; LVH = hipertrofia ventricular esquerda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Left Ventricular Hypertrophy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2.3 Distribuição e qualidade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distribuição das classes é apresentada na Tabela 2. Observa-se um desbalanceamento leve, com a classe 1 sendo majoritária (55,34%).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2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Distribuição das classes da variável-alvo</w:t>
      </w:r>
      <w:r w:rsidDel="00000000" w:rsidR="00000000" w:rsidRPr="00000000">
        <w:rPr>
          <w:rtl w:val="0"/>
        </w:rPr>
      </w:r>
    </w:p>
    <w:tbl>
      <w:tblPr>
        <w:tblStyle w:val="Table3"/>
        <w:tblW w:w="94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600"/>
        <w:gridCol w:w="2900"/>
        <w:gridCol w:w="2900"/>
        <w:tblGridChange w:id="0">
          <w:tblGrid>
            <w:gridCol w:w="3600"/>
            <w:gridCol w:w="2900"/>
            <w:gridCol w:w="29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Classe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Registros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Proporção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 (com doença)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55,34%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 (sem doença)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44,66%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918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Quanto à qualidade dos dados, não há valores ausentes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na base original. Entretanto, o atributo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apresenta 172 registros com valor zero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RestingBP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um registro, valores fisiologicamente implausíveis. Esses zeros foram convertidos em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imputados dentro 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pipeline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evitando vazamento de informação. Como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Chol_por_Idade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depende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esses registros também são imputados no atributo derivado. Ressalta-se ainda que a base não contém triglicerídeos, variável utilizada em alguns estudos clínicos (por exemplo, Page et al., 1970). Não foram encontrados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="360" w:lineRule="auto"/>
        <w:ind w:firstLine="709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Os dados foram divididos de forma estratificada na proporção 80/20, resultando em 734 registros de treino e 184 de teste, dos quais 102 pertencem à classe 1 e 82 à classe 0.</w:t>
      </w:r>
    </w:p>
    <w:p w:rsidR="00000000" w:rsidDel="00000000" w:rsidP="00000000" w:rsidRDefault="00000000" w:rsidRPr="00000000" w14:paraId="000000A3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2.4 Estatísticas descritivas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3 resume as estatísticas descritivas das variáveis numéricas.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3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Estatísticas descritivas das variáveis numéricas</w:t>
      </w:r>
      <w:r w:rsidDel="00000000" w:rsidR="00000000" w:rsidRPr="00000000">
        <w:rPr>
          <w:rtl w:val="0"/>
        </w:rPr>
      </w:r>
    </w:p>
    <w:tbl>
      <w:tblPr>
        <w:tblStyle w:val="Table4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156"/>
        <w:gridCol w:w="1450"/>
        <w:gridCol w:w="1450"/>
        <w:gridCol w:w="1450"/>
        <w:gridCol w:w="1450"/>
        <w:gridCol w:w="1450"/>
        <w:tblGridChange w:id="0">
          <w:tblGrid>
            <w:gridCol w:w="2156"/>
            <w:gridCol w:w="1450"/>
            <w:gridCol w:w="1450"/>
            <w:gridCol w:w="1450"/>
            <w:gridCol w:w="1450"/>
            <w:gridCol w:w="14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Variável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Desvio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Mín.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Mediana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Máx.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53,51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9,43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RestingBP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132,40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18,51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Cholesterol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198,80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109,38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FastingBS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136,81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25,46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1,07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jc w:val="center"/>
              <w:rPr/>
            </w:pPr>
            <w:sdt>
              <w:sdtPr>
                <w:id w:val="1814126225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−2,6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6,2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3.1 Fluxo de processamento (pipeline)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modelo avaliado é uma Árvore de Decisão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DecisionTreeClassifier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implementada no notebook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Arvore_Decisao_Heart_Failure_mlflow.ipynb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encapsulada em um fluxo de processamento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Pipeline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composto por três etapas: (i) pré-processamento numérico, 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SimpleImputer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tendo sido testadas as estratégias mediana, média e moda — seguido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StandardScaler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(ii) pré-processamento categórico, com comparação entre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OneHotEncoder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OrdinalEncoder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e (iii) o classificador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DecisionTreeClassifier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Todas as etapas são ajustadas exclusivamente sobre a partição de treino de cada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fold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 validação cruzada (CV), o que evita vazamento de informação.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3.2 Validação e seleção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conjunto de dados foi dividido de forma estratificada na proporção 80/20 (semente 42), e o conjunto de teste foi reservado até a etapa final. Na busca de hiperparâmetros, empregou-se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RepeatedStratifiedKFold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com cinco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folds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duas repetições. A busca em grade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GridSearchCV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utilizou como métrica de reajuste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refit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o F1 da classe 1, sendo também medidas a acurácia, a precisão e a revocação.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grade de hiperparâmetros combinou imputação (3)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criterion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(2)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max_depth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(4)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min_samples_split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(3)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min_samples_leaf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(3)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max_features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(2) 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class_weight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(2), totalizando 864 combinações por codificação. Isso corresponde a 8.640 ajustes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fits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por codificação e a 17.280 ajustes no total, considerando as codificações one-hot e ordinal. Os valores testados para cada hiperparâmetro constam na Tabela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4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Valores testados para cada hiperparâmetro</w:t>
      </w: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4300"/>
        <w:gridCol w:w="5106"/>
        <w:tblGridChange w:id="0">
          <w:tblGrid>
            <w:gridCol w:w="4300"/>
            <w:gridCol w:w="510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Parâmetro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Valores testados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prep__num__imp__strategy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median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mean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most_frequent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gini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entropy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modelo__max_depth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modelo__min_samples_split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modelo__min_samples_leaf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modelo__max_features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None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sqrt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modelo__class_weight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None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balanced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avaliação no conjunto de teste considerou acurácia, precisão, revocação e F1 para ambas as classes, além do F1 macro, do intervalo de confiança de 95% (IC 95%) do F1 da classe 1 — estimado por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bootstrap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com 1.000 reamostragens — e da matriz de confusão.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3.3 Fases do notebook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experimento foi organizado em onze fases, sintetizadas na Tabela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5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Fases do notebook e respectivas atividades</w:t>
      </w:r>
      <w:r w:rsidDel="00000000" w:rsidR="00000000" w:rsidRPr="00000000">
        <w:rPr>
          <w:rtl w:val="0"/>
        </w:rPr>
      </w:r>
    </w:p>
    <w:tbl>
      <w:tblPr>
        <w:tblStyle w:val="Table6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600"/>
        <w:gridCol w:w="6806"/>
        <w:tblGridChange w:id="0">
          <w:tblGrid>
            <w:gridCol w:w="2600"/>
            <w:gridCol w:w="680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Atividades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 Configuração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Semente, MLflow (SQLite) e pasta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resultados/execucao_&lt;timestamp&gt;/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 Carga e limpeza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Leitura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bases/heart.csv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; zeros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Cholesterol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RestingBP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convertidos em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NaN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 Preparação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ColumnTransformer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(imputação + codificação + escalonamento), divisão 80/20 e CV 5×2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4. Busca em grade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864 combinações por codificação; one-hot e ordinal; registro no MLflow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5. Avaliação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Métricas das duas classes, IC 95%, matriz de confusão e importâncias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6. Referência (baseline)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DummyClassifier(most_frequent)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como referência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7. Interpretação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Importâncias, visualização da árvore e verificação de invariância à escala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8. Ablação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Remoção de um atributo por vez, com os mesmos hiperparâmetros; ambas as classes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9. Engenharia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Cinco razões/interações clínicas; comparação sem e com engenharia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10. Exportação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CSVs, JSON, PNGs e ZIP na pasta da execução; artefatos no MLflow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11. MLflow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Execuções pai/filhas, parâmetros, métricas, modelos e artefatos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3.4 Engenharia de atributos testada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Foram propostos cinco atributos derivados, apresentados na Tabela 6. As razões são calculadas linha a linha, antes da divisão dos dados, sem risco de vazamento.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6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Atributos derivados pela engenharia de atributos</w:t>
      </w:r>
      <w:r w:rsidDel="00000000" w:rsidR="00000000" w:rsidRPr="00000000">
        <w:rPr>
          <w:rtl w:val="0"/>
        </w:rPr>
      </w:r>
    </w:p>
    <w:tbl>
      <w:tblPr>
        <w:tblStyle w:val="Table7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500"/>
        <w:gridCol w:w="3906"/>
        <w:gridCol w:w="3000"/>
        <w:tblGridChange w:id="0">
          <w:tblGrid>
            <w:gridCol w:w="2500"/>
            <w:gridCol w:w="3906"/>
            <w:gridCol w:w="30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Atributo derivado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Fórmula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Motivação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FC_pct_teorica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="240" w:lineRule="auto"/>
              <w:jc w:val="left"/>
              <w:rPr/>
            </w:pPr>
            <w:sdt>
              <w:sdtPr>
                <w:id w:val="-395478297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i w:val="1"/>
                    <w:iCs w:val="1"/>
                    <w:sz w:val="20"/>
                    <w:szCs w:val="20"/>
                    <w:rtl w:val="0"/>
                  </w:rPr>
                  <w:t xml:space="preserve">MaxHR / (220 − Age)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% da FC máxima teórica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Chol_por_Idade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Cholesterol / 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Colesterol relativo à 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BP_por_Idade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RestingBP / 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Pressão relativa à 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Oldpeak_por_FC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Oldpeak / 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Depressão ST por batimento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Angina_x_Oldpeak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(ExerciseAngina == 'Y') × 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Interação angina × 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4.1 Busca em grade e hiperparâmetros selecionados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7 apresenta os hiperparâmetros selecionados pela busca em grade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grid search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para cada codificação.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7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Hiperparâmetros selecionados pela busca em grade</w:t>
      </w:r>
      <w:r w:rsidDel="00000000" w:rsidR="00000000" w:rsidRPr="00000000">
        <w:rPr>
          <w:rtl w:val="0"/>
        </w:rPr>
      </w:r>
    </w:p>
    <w:tbl>
      <w:tblPr>
        <w:tblStyle w:val="Table8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50"/>
        <w:gridCol w:w="1000"/>
        <w:gridCol w:w="1100"/>
        <w:gridCol w:w="950"/>
        <w:gridCol w:w="1000"/>
        <w:gridCol w:w="1150"/>
        <w:gridCol w:w="1550"/>
        <w:gridCol w:w="1606"/>
        <w:tblGridChange w:id="0">
          <w:tblGrid>
            <w:gridCol w:w="1050"/>
            <w:gridCol w:w="1000"/>
            <w:gridCol w:w="1100"/>
            <w:gridCol w:w="950"/>
            <w:gridCol w:w="1000"/>
            <w:gridCol w:w="1150"/>
            <w:gridCol w:w="1550"/>
            <w:gridCol w:w="160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Codificação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Imputação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class_weight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max_depth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max_features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min_samples_leaf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min_samples_split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one-hot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mediana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balanced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entropy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ordinal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moda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sqrt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Em ambas as codificações, a árvore selecionada é rasa, com profundidade 3. A busca avaliou 864 combinações por codificação (17.280 ajustes no total), tendo o F1 da classe 1 como critério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keepNext w:val="1"/>
        <w:spacing w:after="60" w:before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4.2 Comparação entre as codificações one-hot e ordinal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8 compara o desempenho das duas codificações no conjunto de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8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Desempenho das codificações one-hot e ordinal no conjunto de teste</w:t>
      </w:r>
      <w:r w:rsidDel="00000000" w:rsidR="00000000" w:rsidRPr="00000000">
        <w:rPr>
          <w:rtl w:val="0"/>
        </w:rPr>
      </w:r>
    </w:p>
    <w:tbl>
      <w:tblPr>
        <w:tblStyle w:val="Table9"/>
        <w:tblW w:w="905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00"/>
        <w:gridCol w:w="860"/>
        <w:gridCol w:w="830"/>
        <w:gridCol w:w="830"/>
        <w:gridCol w:w="830"/>
        <w:gridCol w:w="830"/>
        <w:gridCol w:w="830"/>
        <w:gridCol w:w="830"/>
        <w:gridCol w:w="900"/>
        <w:gridCol w:w="1316"/>
        <w:tblGridChange w:id="0">
          <w:tblGrid>
            <w:gridCol w:w="1000"/>
            <w:gridCol w:w="860"/>
            <w:gridCol w:w="830"/>
            <w:gridCol w:w="830"/>
            <w:gridCol w:w="830"/>
            <w:gridCol w:w="830"/>
            <w:gridCol w:w="830"/>
            <w:gridCol w:w="830"/>
            <w:gridCol w:w="900"/>
            <w:gridCol w:w="131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Codificação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Prec_c0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Rec_c0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F1_c0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Prec_c1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Rec_c1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F1_macro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IC95 F1_c1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ordinal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0,8098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0,8406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0,7682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0,7913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0,8922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0,8035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0,7817–0,8879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one-hot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0,8207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0,7692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0,8537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0,8092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0,8710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0,7941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0,8308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0,8200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0,7650–0,8865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 Nota: valores em negrito indicam o melhor resultado de cada métrica.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codificação ordinal obteve maiores F1_c1 e revocação da classe 1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recall_c1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o que a torna preferível para evitar que pacientes doentes fiquem sem diagnóstico. Por sua vez, a codificação one-hot apresentou maiores acurácia, precisão da classe 1 e F1_macro. Como os intervalos de confiança do F1_c1 se sobrepõem, a diferença entre as codificações não é conclusiva.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4.3 Referência (baseline) da classe majoritária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classificador ingênuo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DummyClassifier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com estratégia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most_frequent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prediz sempre a classe 1. Seus resultados constam na Tabela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9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Desempenho do classificador de referência (classe majoritária)</w:t>
      </w:r>
      <w:r w:rsidDel="00000000" w:rsidR="00000000" w:rsidRPr="00000000">
        <w:rPr>
          <w:rtl w:val="0"/>
        </w:rPr>
      </w:r>
    </w:p>
    <w:tbl>
      <w:tblPr>
        <w:tblStyle w:val="Table10"/>
        <w:tblW w:w="60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500"/>
        <w:gridCol w:w="2500"/>
        <w:tblGridChange w:id="0">
          <w:tblGrid>
            <w:gridCol w:w="3500"/>
            <w:gridCol w:w="25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0,5543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Precisão_c1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0,5543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Recall_c1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1,0000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0,7133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F1_c0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0,0000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F1_macro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0,3566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 seja, classificar todos os pacientes na classe majoritária já resulta em F1_c1 = 0,71; portanto, o modelo precisa superar essa referência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 que de fato ocorre (0,8387 com a codificação ordinal). A referência não produz falsos negativos da classe 1 (revocação da classe 1 igual a 1), mas gera 82 falsos positivos, uma vez que erra toda a classe 0. Esse resultado evidencia por que a acurácia, analisada isoladamente, pode ser enganosa.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4.4 Ablação de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 análise de ablação (seleção de variáveis), cada atributo foi removido individualmente, mantendo-se os melhores hiperparâmetros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class_weight=None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Os resultados são apresentados na Tabela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10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Resultados da ablação de atributos</w:t>
      </w:r>
      <w:r w:rsidDel="00000000" w:rsidR="00000000" w:rsidRPr="00000000">
        <w:rPr>
          <w:rtl w:val="0"/>
        </w:rPr>
      </w:r>
    </w:p>
    <w:tbl>
      <w:tblPr>
        <w:tblStyle w:val="Table11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306"/>
        <w:gridCol w:w="2000"/>
        <w:gridCol w:w="1250"/>
        <w:gridCol w:w="1250"/>
        <w:gridCol w:w="1300"/>
        <w:gridCol w:w="1300"/>
        <w:tblGridChange w:id="0">
          <w:tblGrid>
            <w:gridCol w:w="2306"/>
            <w:gridCol w:w="2000"/>
            <w:gridCol w:w="1250"/>
            <w:gridCol w:w="1250"/>
            <w:gridCol w:w="1300"/>
            <w:gridCol w:w="13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Atributo removido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F1_macro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nenhum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sem_RestingBP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RestingBP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sem_Cholesterol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Cholesterol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sem_FastingBS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FastingBS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0,8149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sem_ExerciseAngina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ExerciseAngina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0,7988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sem_ST_Slope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ST_Slope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0,7772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0,7897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0,7764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0,6933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0,7890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0,7412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sem_Sex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Sex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sem_ChestPainType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ChestPainType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sem_RestingECG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RestingECG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Oldpeak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0,7360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3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Nenhuma remoção melhorou o F1_c1, de modo que o conjunto completo de atributos apresenta o melhor resultado (0,8387). A remoção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RestingBP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ou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FastingBS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melhora a acurácia (0,8207), o F1_c0 (0,8136) e o F1_macro (0,8204), mas reduz a revocação e o F1 da classe 1, o que caracteriza um compromisso entre as classes. Já a remoção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ST_Slope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ou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MaxHR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piora o F1_c1, indicando que esses atributos são informativos. A exclusão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Sex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ChestPainType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RestingECG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ou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Oldpeak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reduz o F1_c1 para 0,7647, pois a árvore passa a adotar outro caminho de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Conclui-se que, para maximizar o F1_c1, todos os atributos devem ser mantidos; por outro lado, para equilibrar o desempenho entre as classes (F1_macro), a remoção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RestingBP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ou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FastingBS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constitui uma alternativa.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4.5 Engenharia de atributos (razões e interações clínicas)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11 compara o desempenho do modelo sem e com os atributos derivados.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11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Comparação do modelo sem e com engenharia de atributos</w:t>
      </w:r>
      <w:r w:rsidDel="00000000" w:rsidR="00000000" w:rsidRPr="00000000">
        <w:rPr>
          <w:rtl w:val="0"/>
        </w:rPr>
      </w:r>
    </w:p>
    <w:tbl>
      <w:tblPr>
        <w:tblStyle w:val="Table12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06"/>
        <w:gridCol w:w="1300"/>
        <w:gridCol w:w="1220"/>
        <w:gridCol w:w="1220"/>
        <w:gridCol w:w="1220"/>
        <w:gridCol w:w="1220"/>
        <w:gridCol w:w="1220"/>
        <w:tblGridChange w:id="0">
          <w:tblGrid>
            <w:gridCol w:w="2006"/>
            <w:gridCol w:w="1300"/>
            <w:gridCol w:w="1220"/>
            <w:gridCol w:w="1220"/>
            <w:gridCol w:w="1220"/>
            <w:gridCol w:w="1220"/>
            <w:gridCol w:w="12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Nº de atributos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sem_engenharia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0,7682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0,8604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com_engenharia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0,8261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0,7838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0,8545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0,8192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0,7946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conjunto de teste, observou-se melhora de +0,0158 no F1_c1 (de 0,8387 para 0,8545), de +0,0294 na revocação da classe 1 (de 0,8922 para 0,9216), de +0,0163 na acurácia e de +0,0157 no F1_macro.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Há, contudo, uma limitação importante: o F1 obtido na validação cruzada apresentou redução (de 0,8604 para 0,7946). Assim, a melhora observada no conjunto de teste não é confirmada pela CV e pode decorrer da divisão específica dos dados (184 amostras). A engenharia de atributos deve, portanto, ser considerada promissora, porém não conclusiva, até que haja validação externa.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4.6 Matrizes de confusão e o erro de maior gravidade clínica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12 apresenta os elementos das matrizes de confusão obtidas no conjunto de teste, composto por 184 pacientes (82 da classe 0 e 102 da classe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12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Elementos das matrizes de confusão no conjunto de teste</w:t>
      </w:r>
      <w:r w:rsidDel="00000000" w:rsidR="00000000" w:rsidRPr="00000000">
        <w:rPr>
          <w:rtl w:val="0"/>
        </w:rPr>
      </w:r>
    </w:p>
    <w:tbl>
      <w:tblPr>
        <w:tblStyle w:val="Table13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906"/>
        <w:gridCol w:w="800"/>
        <w:gridCol w:w="800"/>
        <w:gridCol w:w="1300"/>
        <w:gridCol w:w="800"/>
        <w:gridCol w:w="1300"/>
        <w:gridCol w:w="1250"/>
        <w:gridCol w:w="1250"/>
        <w:tblGridChange w:id="0">
          <w:tblGrid>
            <w:gridCol w:w="1906"/>
            <w:gridCol w:w="800"/>
            <w:gridCol w:w="800"/>
            <w:gridCol w:w="1300"/>
            <w:gridCol w:w="800"/>
            <w:gridCol w:w="1300"/>
            <w:gridCol w:w="1250"/>
            <w:gridCol w:w="12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TN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FN (classe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Recall_c1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com_engenharia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0,9216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0,8545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0,7946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ordinal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0,8922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0,8604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one-hot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0,7941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0,8550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1,0000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C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Figura 1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Matriz de confusão do modelo com engenharia de atributos (melhor resultado no teste para triagem)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1"/>
        <w:spacing w:after="0" w:before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00400" cy="280035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00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a partir da execução do notebook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Figura 2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Matriz de confusão do modelo com codificação ordinal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1"/>
        <w:spacing w:after="0" w:before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00400" cy="280035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00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a partir da execução do notebook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Figura 3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Matriz de confusão do modelo com codificação one-hot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1"/>
        <w:spacing w:after="0" w:before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00400" cy="280035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00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a partir da execução do notebook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erro de maior gravidade clínica é o falso negativo da classe 1, ou seja, o paciente doente previsto como “não doente”. No conjunto de teste, o modelo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é o mais adequado para triagem: apresenta 8 falsos negativos, contra 11 do ordinal e 21 do one-hot, com o mesmo número de falsos positivos (24) e o maior F1_c1 (0,8545).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Como limitação, o F1 da CV desse modelo apresentou redução (0,7946, ante 0,8604 do ordinal); logo, a melhora no teste não é confirmada pela CV e pode refletir a variância do conjunto de teste reservado. Os dois modelos mais indicados para triagem são, portanto, 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o ordinal (com 8 e 11 falsos negativos, respectivamente). A escolha entre eles envolve um compromisso entre o desempenho no teste e a robustez na CV, e exige validação externa.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keepNext w:val="1"/>
        <w:spacing w:after="60" w:before="120" w:line="360" w:lineRule="auto"/>
        <w:ind w:left="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4.7 Síntese das transformações e impacto nas 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Tabela 13 resume as principais transformações de preparação dos dados e seus efeitos sobre as métricas, indicando melhora ou piora.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13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Síntese das transformações e de seu impacto nas métricas</w:t>
      </w:r>
      <w:r w:rsidDel="00000000" w:rsidR="00000000" w:rsidRPr="00000000">
        <w:rPr>
          <w:rtl w:val="0"/>
        </w:rPr>
      </w:r>
    </w:p>
    <w:tbl>
      <w:tblPr>
        <w:tblStyle w:val="Table14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00"/>
        <w:gridCol w:w="1600"/>
        <w:gridCol w:w="1700"/>
        <w:gridCol w:w="2706"/>
        <w:tblGridChange w:id="0">
          <w:tblGrid>
            <w:gridCol w:w="3400"/>
            <w:gridCol w:w="1600"/>
            <w:gridCol w:w="1700"/>
            <w:gridCol w:w="270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Transformação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Depois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Efeito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before="0" w:line="240" w:lineRule="auto"/>
              <w:jc w:val="left"/>
              <w:rPr/>
            </w:pPr>
            <w:sdt>
              <w:sdtPr>
                <w:id w:val="1046092446"/>
                <w:tag w:val="goog_rdk_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19"/>
                    <w:szCs w:val="19"/>
                    <w:rtl w:val="0"/>
                  </w:rPr>
                  <w:t xml:space="preserve">Codificação one-hot → ordinal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F1_c1 0,8308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Ganho no F1_c1 e na revocação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Imputação (mediana × moda)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Escolhida pela grade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class_weight=balanced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jc w:val="center"/>
              <w:rPr/>
            </w:pPr>
            <w:sdt>
              <w:sdtPr>
                <w:id w:val="330880199"/>
                <w:tag w:val="goog_rdk_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9"/>
                    <w:szCs w:val="19"/>
                    <w:rtl w:val="0"/>
                  </w:rPr>
                  <w:t xml:space="preserve">≈ igual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jc w:val="center"/>
              <w:rPr/>
            </w:pPr>
            <w:sdt>
              <w:sdtPr>
                <w:id w:val="434763337"/>
                <w:tag w:val="goog_rdk_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9"/>
                    <w:szCs w:val="19"/>
                    <w:rtl w:val="0"/>
                  </w:rPr>
                  <w:t xml:space="preserve">≈ igual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Sem efeito (desbalanceamento leve)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Escalonamento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StandardScaler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Idêntico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Idêntico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Invariante (árvore)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Remoção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RestingBP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Cholesterol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FastingBS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F1_c1 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0,8272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Piora o F1_c1; melhora o F1_macro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Remoção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ST_Slope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MaxHR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F1_c1 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0,7897 / 0,7890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Piora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Engenharia de atributos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F1_c1 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0,8545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Melhora no teste; redução na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Variação de hiperparâmetros one-hot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max_depth=4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min_samples_leaf=10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F1 0,8308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Piora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F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 MLflow: registro e tabulação dos experimentos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Todos os experimentos foram registrados no MLflow, no experimento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heart_failure_arvore_decisao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com rastreamento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tracking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local em SQLite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mlflow.db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 artefatos armazenados em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mlruns/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Ao todo, foram registradas 111 execuções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runs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entre execuções pai e filhas.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Cada execução armazena: (i) os parâmetros — codificação, imputação, hiperparâmetros, atributo removido, engenharia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class_weight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(ii) as métricas — F1, acurácia, precisão, revocação, F1 macro e IC 95%; (iii) o modelo, por meio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mlflow.sklearn.log_model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e (iv) os artefatos — CSVs, JSON, PNGs e ZIP. A tabela completa encontra-se em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docs/mlflow_runs.csv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exportada via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mlflow.search_runs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e contém as colunas de execução, status, data, parâmetros e métricas.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 execuções principais são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arvore_onehot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arvore_ordinal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baseline_classe_majoritaria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ablacao_atributos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(com 12 execuções filhas),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engenharia_features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sem_engenharia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relatorio_artefatos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 Avaliação comparativa entre execuções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14 registra a evolução do experimento ao longo das execuções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14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Evolução das execuções do experimento</w:t>
      </w:r>
      <w:r w:rsidDel="00000000" w:rsidR="00000000" w:rsidRPr="00000000">
        <w:rPr>
          <w:rtl w:val="0"/>
        </w:rPr>
      </w:r>
    </w:p>
    <w:tbl>
      <w:tblPr>
        <w:tblStyle w:val="Table15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756"/>
        <w:gridCol w:w="2900"/>
        <w:gridCol w:w="1650"/>
        <w:gridCol w:w="1300"/>
        <w:gridCol w:w="1800"/>
        <w:tblGridChange w:id="0">
          <w:tblGrid>
            <w:gridCol w:w="1756"/>
            <w:gridCol w:w="2900"/>
            <w:gridCol w:w="1650"/>
            <w:gridCol w:w="1300"/>
            <w:gridCol w:w="18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Execução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O que mudou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Melhor F1_c1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F1_macro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Efeito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20261022_081800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Versão inicial: one-hot × ordinal +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Referência (somente classe 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20261022_083734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Inclusão da ablação com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class_weight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 None/balanced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balanced</w:t>
            </w:r>
            <w:sdt>
              <w:sdtPr>
                <w:id w:val="-232399436"/>
                <w:tag w:val="goog_rdk_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9"/>
                    <w:szCs w:val="19"/>
                    <w:rtl w:val="0"/>
                  </w:rPr>
                  <w:t xml:space="preserve"> ≈ 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20261022_090449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Ablação simplificada (sem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balanced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Foco didático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20261022_093147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Inclusão da engenharia de atributos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0,8545 (com)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0,8192 (com)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Melhora no teste; redução na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20261022_094826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Variação de hiperparâmetros one-hot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max_depth=4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min_samples_leaf=10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0,8119 (one-hot)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Piora no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20261026_075517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Métricas para as duas classes (versão final)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0,8387 (ordinal) / 0,8545 (com eng.)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0,8035 / 0,8192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Versão consolidada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A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 evolução das execuções, destacam-se cinco considerações. Primeiro, os hiperparâmetros escolhidos pela grade mantiveram-se estáveis (profundidade 3), exceto na variação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094826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que piorou o desempenho no teste. Segundo, a engenharia de atributos foi a única mudança que melhorou o resultado no conjunto de teste (F1_c1 de 0,8387 para 0,8545), mas apresentou redução na CV (de 0,8604 para 0,7946), o que caracteriza um ganho não robusto. Terceiro, a ablação mostrou que remover atributos não melhora o F1_c1, apenas o F1_macro, ao custo da revocação da classe 1. Quarto,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class_weight='balanced'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não teve efeito relevante, o que é coerente com o desbalanceamento leve das classes (55/45). Por fim, a adoção de métricas para ambas as classes alterou a interpretação dos resultados: o modelo que parecia “melhor” considerando apenas a classe 1 nem sempre é o melhor em termos de F1_macro.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 Discussão e trabalhos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Tabela 15 relaciona os trabalhos da literatura que fundamentam as escolhas deste estudo.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1"/>
        <w:spacing w:after="80" w:before="24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Tabela 15 –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Trabalhos relacionados e sua relação com este estudo</w:t>
      </w:r>
      <w:r w:rsidDel="00000000" w:rsidR="00000000" w:rsidRPr="00000000">
        <w:rPr>
          <w:rtl w:val="0"/>
        </w:rPr>
      </w:r>
    </w:p>
    <w:tbl>
      <w:tblPr>
        <w:tblStyle w:val="Table16"/>
        <w:tblW w:w="94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006"/>
        <w:gridCol w:w="3300"/>
        <w:gridCol w:w="3100"/>
        <w:tblGridChange w:id="0">
          <w:tblGrid>
            <w:gridCol w:w="3006"/>
            <w:gridCol w:w="3300"/>
            <w:gridCol w:w="31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Trabalho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Contribuição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Relação com este trabalho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Qadri et al. (2023),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IEEE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Técnica de engenharia de atributos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feature engineering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) para predição de doença cardíaca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Justifica a criação de atributos derivados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Abass et al. (2025), Springer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Compara LR, SVM, KNN, DT e RF com engenharia de atributos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Reforça a engenharia como etapa do processo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Gárate-Escamilla et al. (2020),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Informatics in Medicine Unlocked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Seleção de atributos + PCA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Compara seleção e transformação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Hasnat et al. (2025), arXiv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Engenharia de atributos + SHAP + árvores substitutas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Interpretabilidade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Page et al. (1970),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Circulation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Idade e colesterol total como preditores de DAC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Fundamenta idade e colesterol; a razão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Chol_por_Idade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 é proposta deste trabalho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Folsom et al. (2003),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Diabetes Care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Fatores de risco para DAC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Contexto clínico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Detrano et al. (1989) / Janosi et al. (1988)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Base UCI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Heart Disease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Origem dos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Fox et al. (1971)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before="0" w:line="240" w:lineRule="auto"/>
              <w:jc w:val="left"/>
              <w:rPr/>
            </w:pPr>
            <w:sdt>
              <w:sdtPr>
                <w:id w:val="862401425"/>
                <w:tag w:val="goog_rdk_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19"/>
                    <w:szCs w:val="19"/>
                    <w:rtl w:val="0"/>
                  </w:rPr>
                  <w:t xml:space="preserve">Fórmula FCmax ≈ 220 − idade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Base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9"/>
                <w:szCs w:val="19"/>
                <w:rtl w:val="0"/>
              </w:rPr>
              <w:t xml:space="preserve">FC_pct_teorica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A">
      <w:pPr>
        <w:spacing w:after="240" w:before="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 variáveis originais utilizadas nas razões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MaxHR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Oldpeak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RestingBP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ExerciseAngina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são indicadores clínicos consolidados. As razões propostas buscam normalizar essas medidas pela idade ou pela frequência cardíaca e capturar interações (angina × depressão do segmento ST), o que auxilia a árvore a representar relações “diagonais” com menos cortes. A literatura apoia o uso de engenharia de atributos na predição de doença cardíaca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contudo, as razões específicas aqui testadas constituem hipóteses exploratórias e requerem validação externa.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Em particular, Page et al. (1970) fundamentam a idade e o colesterol total como preditores de DAC, mas não propõem a razão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Chol_por_Idade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que é uma proposta deste trabalho. Além disso, a base do Kaggle não contém triglicerídeos e apresenta 172 registros 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 = 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tratados como valores ausentes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 imputados dentro 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pipeline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Como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Chol_por_Idade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depende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esses registros também recebem imputação no atributo derivado.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estudo apresenta as seguintes limitações: (i) a base é pequena (918 registros) e o conjunto de teste contém apenas 184 pacientes, o que resulta em intervalos de confiança largos; (ii) utilizou-se uma única árvore, sem métodos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ensemble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sem validação externa; (iii) a engenharia de atributos melhorou o desempenho no conjunto de teste, mas apresentou redução na CV, de modo que o ganho não é conclusivo; e (iv) não foram testados o ajuste de limiar de decisão, a técnica SMOTE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Synthetic Minority Over-sampling Technique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nem outros modelos.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 Conclusão e recomendações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conjunto de teste, o melhor modelo para triagem foi 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(codificação ordinal acrescida de cinco atributos derivados), com 8 falsos negativos, revocação da classe 1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recall_c1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de 0,9216 e F1_c1 de 0,8545, mantendo o mesmo número de falsos positivos (24) do modelo ordinal. Por outro lado, o modelo mais robusto na validação cruzada foi o ordinal sem engenharia, com F1_CV de 0,8604, ante 0,7946 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engenharia de atributos melhorou o desempenho no conjunto de teste, mas não teve o ganho confirmado pela CV, devendo ser tratada como promissora, porém não conclusiva. Quanto à ablação, a manutenção de todos os atributos maximiza o F1_c1, ao passo que a remoção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RestingBP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Cholesterol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ou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FastingBS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melhora o F1_macro, mas aumenta o risco de falso negativo da classe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Como recomendação clínica, sugere-se, para fins de triagem, priorizar a revocação e o F1 da classe 1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adotando 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com_engenharia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com base no desempenho no teste e o ordinal como alternativa </w:t>
      </w:r>
      <w:r w:rsidDel="00000000" w:rsidR="00000000" w:rsidRPr="00000000">
        <w:rPr>
          <w:rtl w:val="0"/>
        </w:rPr>
        <w:t xml:space="preserve">com maior segurança nos testes. Deve-se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avaliar o ajuste do limiar de decisão e validar o modelo em base externa antes de qualquer uso real. Por fim, as 111 execuções registradas no MLflow permitem reproduzir e comparar todos os experimentos realizados.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1"/>
        <w:keepNext w:val="1"/>
        <w:spacing w:after="120" w:before="24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[1] FEDESORIANO.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Heart Failure Prediction Dataset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Kaggle, 2021. Disponível em: https://www.kaggle.com/datasets/fedesoriano/heart-failure-prediction.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[2] DETRANO, R. et al. International application of a new probability algorithm for the diagnosis of coronary artery disease.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American Journal of Cardiology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1989.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[3] JANOSI, A.; STEINBRUNN, W.; PFISTERER, M.; DETRANO, 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Heart Disease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UCI Machine Learning Repository, 1988.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[4] QADRI, A. M. et al. Effective Feature Engineering Technique for Heart Disease Prediction With Machine Learning.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IEEE Access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[5] ABASS, A.; BATHLA, G.; WASSON, V. Heart Disease Prediction Using Machine Learning with Feature Engineering. In: Soft Computing and Signal Processing (ICSCSP 2024).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Lecture Notes in Networks and Systems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v. 1221. Springer, 2025, p. 697–709. DOI: https://doi.org/10.1007/978-981-96-0924-6_55.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[6] GÁRATE-ESCAMILLA, A. K.; HAJJAM EL HASSANI, A.; ANDRÈS, E. Classification models for heart disease prediction using feature selection and PCA.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Informatics in Medicine Unlocked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2020.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[7] HASNAT, M. A. et al. Interpretable Heart Disease Prediction via a Weighted Ensemble Model.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arXiv:2511.01947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[8] PAGE, I. H. et al. Prediction of Coronary Heart Disease Based on Clinical Suspicion, Age, Total Cholesterol, and Triglyceride.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Circulation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v. 42, n. 4, p. 625–645, 1970. DOI: https://doi.org/10.1161/01.cir.42.4.625.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[9] FOLSOM, A. R. et al. Prediction of Coronary Heart Disease in Middle-Aged Adults With Diabetes.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Diabetes Care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2003.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40" w:before="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[10] FOX, S. M.; NAUGHTON, J. P.; HASKELL, W. L. Physical activity and the prevention of coronary heart disease.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Annals of Clinical Research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1971.</w:t>
      </w:r>
      <w:r w:rsidDel="00000000" w:rsidR="00000000" w:rsidRPr="00000000">
        <w:rPr>
          <w:rtl w:val="0"/>
        </w:rPr>
      </w:r>
    </w:p>
    <w:sectPr>
      <w:headerReference r:id="rId11" w:type="default"/>
      <w:type w:val="nextPage"/>
      <w:pgSz w:h="15840" w:w="12240" w:orient="portrait"/>
      <w:pgMar w:bottom="1417" w:top="1417" w:left="1417" w:right="1417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D">
    <w:pPr>
      <w:jc w:val="right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spacing w:after="60" w:before="12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kaggle.com/datasets/fedesoriano/heart-failure-prediction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nzVDVLPR24XDHO5OB3L0OfJgaw==">CgMxLjAaJQoBMBIgCh4IB0IaCg9UaW1lcyBOZXcgUm9tYW4SB0d1bmdzdWgaJQoBMRIgCh4IB0IaCg9UaW1lcyBOZXcgUm9tYW4SB0d1bmdzdWgaIwoBMhIeChwIB0IYCg9UaW1lcyBOZXcgUm9tYW4SBUNhcmRvGiUKATMSIAoeCAdCGgoPVGltZXMgTmV3IFJvbWFuEgdHdW5nc3VoGiUKATQSIAoeCAdCGgoPVGltZXMgTmV3IFJvbWFuEgdHdW5nc3VoGiUKATUSIAoeCAdCGgoPVGltZXMgTmV3IFJvbWFuEgdHdW5nc3VoGiUKATYSIAoeCAdCGgoPVGltZXMgTmV3IFJvbWFuEgdHdW5nc3VoOAByITF1Z0hCdUlmWTlPMFpsSXJPQ2ltbWNLa1NkaFRvaU5m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2026-10-26T13:19:02.356Z</dcterms:created>
  <dc:creator>Arthur Bohn; Diego Cordeiro; Keoma Coelho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