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5715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1828800"/>
                    </a:xfrm>
                    <a:prstGeom prst="rect">
                      <a:avLst/>
                    </a:prstGeom>
                  </pic:spPr>
                </pic:pic>
              </a:graphicData>
            </a:graphic>
          </wp:inline>
        </w:drawing>
      </w:r>
    </w:p>
    <w:p>
      <w:pPr>
        <w:spacing w:after="300"/>
        <w:jc w:val="center"/>
      </w:pPr>
      <w:r>
        <w:rPr>
          <w:b/>
          <w:bCs/>
          <w:u w:val="single"/>
          <w:sz w:val="28"/>
          <w:szCs w:val="28"/>
          <w:rFonts w:ascii="Arial" w:cs="Arial" w:eastAsia="Arial" w:hAnsi="Arial"/>
        </w:rPr>
        <w:t xml:space="preserve">ACTA DE SEGUIMIENTO: #0003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Datos Básicos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Proyecto/Contrato</w:t>
            </w:r>
          </w:p>
        </w:tc>
        <w:tc>
          <w:tcPr>
            <w:tcW w:type="dxa" w:w="234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ATDAPREFCP2025 (TI-2026-001)</w:t>
            </w:r>
          </w:p>
        </w:tc>
        <w:tc>
          <w:tcPr>
            <w:tcW w:type="dxa" w:w="234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Entidad</w:t>
            </w:r>
          </w:p>
        </w:tc>
        <w:tc>
          <w:tcPr>
            <w:tcW w:type="dxa" w:w="234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Departamento Administrativo de la Presidencia de la República</w:t>
            </w:r>
          </w:p>
        </w:tc>
      </w:tr>
      <w:tr>
        <w:tc>
          <w:tcPr>
            <w:tcW w:type="dxa" w:w="234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Lugar de reunión</w:t>
            </w:r>
          </w:p>
        </w:tc>
        <w:tc>
          <w:tcPr>
            <w:tcW w:type="dxa" w:w="234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Virtual - Microsoft Teams</w:t>
            </w:r>
          </w:p>
        </w:tc>
        <w:tc>
          <w:tcPr>
            <w:tcW w:type="dxa" w:w="234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Fecha de reunión</w:t>
            </w:r>
          </w:p>
        </w:tc>
        <w:tc>
          <w:tcPr>
            <w:tcW w:type="dxa" w:w="234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Asistentes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Nombre</w:t>
            </w:r>
          </w:p>
        </w:tc>
        <w:tc>
          <w:tcPr>
            <w:tcW w:type="dxa" w:w="312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Cargo</w:t>
            </w:r>
          </w:p>
        </w:tc>
        <w:tc>
          <w:tcPr>
            <w:tcW w:type="dxa" w:w="312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En representación de</w:t>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Jasbleidy Triana Velasquez</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Oscar Roa</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Germán Augusto Medina</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Adrián</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Jorge</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Ingeniero</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Mercedes</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Diego</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Yeiler</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Jamer</w:t>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312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bl>
    <w:p>
      <w:pPr>
        <w:spacing w:before="100"/>
      </w:pPr>
      <w:r>
        <w:rPr>
          <w:i/>
          <w:iCs/>
          <w:color w:val="666666"/>
          <w:sz w:val="16"/>
          <w:szCs w:val="16"/>
          <w:rFonts w:ascii="Arial" w:cs="Arial" w:eastAsia="Arial" w:hAnsi="Arial"/>
        </w:rPr>
        <w:t xml:space="preserve">* La presente acta se remite como ayuda de memoria de la sesión realizada. En caso de no recibir observaciones o comentarios en un plazo de cinco (5) días hábiles, se considerará aprobado su contenido.</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Propósito de la reunión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informe de enero: costos/consumos, migración y desempeño de portales, respaldos, incidentes y pendientes de conectividad/licenciamiento.</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Agenda del día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 Revisión de costos y consumos (Azure/servicios) y carga de créditos
2. Estado de migración de portales a App Service (preproducción/producción), optimización y compatibilidad
3. Disponibilidad, respaldos (backups) e incidentes de infraestructura (energía/canales)
4. Gestión de cambios y aprobaciones (subida de archivos &gt;2MB) y pendientes de pruebas técnicas
5. Cotizaciones/gestión con proveedores para aumento de canal de Internet y temas de licencias/créditos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No.</w:t>
            </w:r>
          </w:p>
        </w:tc>
        <w:tc>
          <w:tcPr>
            <w:tcW w:type="dxa" w:w="856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Desarrollo de la Agenda</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Costos del mes, consumo por servicios y carga de créditos
Se revisan costos del mes (enero) y la distribución por servicios, identificando como principal consumo el almacenamiento (storage) y en segundo lugar máquinas virtuales. Se menciona que el 28 de enero se realizó la carga de créditos y se presenta evidencia de los cargos. Sobre la migración de páginas/portales, se aclara que el incremento aproximado fue de ~7 USD mensuales por servicio. Se indica que dos máquinas ya están apagadas y que, si se requiere un entorno de pruebas, podrían encenderse bajo demanda para que el equipo de comunicaciones realice ajustes antes de pasar a producción.</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2</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Migración de portales a App Service y actividades técnicas ejecutadas
Se informa que durante el periodo se realizó la migración de dos portales y se entregó el ambiente de preproducción. Se diseñó la arquitectura en App Service (PaaS), se configuró el servicio y se validaron parámetros de memoria, almacenamiento y disponibilidad. Se revisó compatibilidad de plugins, bases de datos y dependencias. Para el portal 'Fondo Colombia en Paz' se actualizaron ~28 plugins en la semana y se establece que Adrián realizará revisiones/actualizaciones semanales para evitar desactualización. Se ejecutaron pruebas de funcionalidad y validación de contenidos.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3</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Bases de datos externas, seguridad y redundancia
Se crearon bases de datos externas para redundancia adicional, configuradas en Azure Database for MySQL, con instancias independientes por cada App Service. Se restringe la conexión a BD mediante certificados TLS. El objetivo es que, si el App Service se ve afectado, la base de datos permanezca externa y disponible.</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4</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Optimización de almacenamiento y rendimiento del portal
Se configuró almacenamiento y se realizó depuración del sitio 'Fondo Colombia en Paz', reduciendo el peso del sitio en Azure de ~100 GB a ~50 GB. Se reporta mejora notable en tiempos de carga. Se muestran mediciones: load &lt; 1 segundo (ej. 0,497 s), consulta BD ~0,0011 s, obtención de plugins ~0,42 s (29 plugins), y tiempo total de ejecución/carga ~0,527 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5</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Problemas de carga de imágenes/íconos y compatibilidad con navegadores (Edge) / caché
Se revisa un caso donde una imagen no carga en la sección 'Datos abiertos' y otros íconos (ubicación) que antes no aparecían. Se concluye que puede ser un tema de caché o compatibilidad con Edge, ya que en otros navegadores (Chrome) o en móvil sí carga correctamente. Adrián queda revisando la incompatibilidad. Se valida que la información en la parte inferior ya aparece completa.</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6</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Lentitud percibida al acceder por VPN y comportamiento de primera carga
Jasbleidy reporta que, siguiendo recomendaciones (DNS/caché), la página demoraba ~20 segundos en cargar y compartió un video por correo, pero el presentador indica que recibió el enlace sin acceso. Oscar prueba desde teletrabajo: sin VPN carga &lt;1 s; con VPN tarda ~3-4 s antes de mostrar la página. Se explica que la primera carga puede tardar 3-4 s y luego, por parametrización de caché en navegador, las siguientes cargas bajan a &lt;1 s. Se indica que esto debe ocurrir por equipo y se revisará si hay optimizaciones adicionales.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7</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Subida de archivos mayores a 2 MB (convocatorias) y aprobación
Oscar consulta si ya se ajustó el límite para subir archivos &gt;2 MB, ya que no podía actualizar convocatorias. Se indica que se reenvió un correo a Yeiler sin respuesta. Se recomienda mantener tamaños bajos porque archivos de 6-8 MB pueden ralentizar el sitio y dependen de la conexión del usuario. Si se decide permitirlo, se ajusta un parámetro de PHP. Se solicita aprobación por correo (responder 'aprobado') para proceder con el cambio/subida.</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8</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Disponibilidad de portales, licencias y respaldos
Se reporta que en enero los portales tuvieron 100% de disponibilidad (sin caídas) del 1 al 31 de enero. Se mantuvo la licencia de Metricool para 5 portales. Se generaron backups: 31 ejecuciones diarias y 4 semanales; tiempos promedio por máquina 11 min y 4 min (incrementales/full) y backup semanal ~22 min. Se mencionan 21 correos respaldados (de los cancelados en enero) y copias de seguridad de máquinas en Azure. Ante pregunta por número de máquinas, se indica que son ~22 máquinas respaldadas.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9</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Canales de comunicación, incidentes de energía y disponibilidad de sedes
Se revisa la disponibilidad de canales y redundancia. Se menciona una caída el 23 de enero con indisponibilidad de ~2 h 41 min en sede Calle 72 y una caída de ~5 horas en Calle 100 asociada a apagado de UPS. La MPLS se mantuvo al 100% al no depender de los canales de Claro. Se menciona negociación con proveedor para aumentar el canal de Internet.</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10</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Cotizaciones para aumento de canal de Internet y requerimientos de proveedores
Se indica que no se logró conseguir las cotizaciones acordadas y se debe definir si se activa el proceso. Germán explica que los proveedores exigen programar visitas porque posiblemente no existan acometidas en las instalaciones. Jasbleidy solicita una cotización formal por parte de ellos; Germán confirma que sí.</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11</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Falla de servidor físico (18 de enero) y recuperación de servicios
Se reporta una falla el 18 de enero en servidores físicos por picos/fallas eléctricas, afectando fuente de poder y board. Se realizó reemplazo de tarjeta principal y fuentes de poder, se restauraron servicios: directorio activo, conexión, copias de seguridad, sonda de monitoreo, herramienta de mesa de servicio y máquinas en Hyper-V. Se validaron backups y se generaron respaldos adicionales.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12</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Pendiente: pruebas de funcionalidad de canales (Dirección Ejecutiva vs Consorcio) y simulación de contingencia
Jasbleidy recuerda pendiente: Mercedes validaría funcionalidad de canales entre Dirección Ejecutiva y consorcio para no depender de una sede. Se responde que en teoría se evidenció el día de la caída de luz (sin intermitencia en 72), pero se programará una ventana de mantenimiento un sábado con disponibilidad de usuarios y coordinación con IFX. Se menciona que IFX ya corrigió una política mal asociada y se puede enviar el informe.</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13</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Pendiente: PeopleSoft no funcionó durante contingencia y revisión de NAT/segmentos permitidos
Jasbleidy indica que el día de la caída no funcionó PeopleSoft. Se propone simular la condición para revisar si el tráfico quedó atado a un segmento. Se explica que por NAT/redirección interna, al conectarse por VPN se asigna una IP que no está permitida en el segmento de Fiduprevisora; las IP permitidas son las de Calle 72 y Calle 100. Dependiendo del rango asignado (72 o 100), algunos usuarios quedan por fuera. Se evaluará ampliar/ajustar el segmento para que PeopleSoft quede por Calle 72, considerando el impacto en respaldo/contingencia.</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14</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Revisión del informe y facturación (profactura/radicación)
Jasbleidy indica que revisarán el informe durante la semana y que hacia el viernes darían el visto bueno para generar la profactura. El proveedor solicita agilizar para radicar en los primeros 5 días del mes y, como meta, radicar el informe de supervisión antes del 15 de cada mes, alineado con cortes de facturación de Fiduprevisora.</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15</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Carga de documentos en URL/carpeta de contratos
Se solicita subir un documento a una URL/carpeta específica donde quedan los contratos. El proveedor pide que le compartan el acceso/URL para poder realizar la carga; queda como pendiente el acceso.</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16</w:t>
            </w:r>
          </w:p>
        </w:tc>
        <w:tc>
          <w:tcPr>
            <w:tcW w:type="dxa" w:w="85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Licencias y servicios pendientes (BID, Google Vision/Google Cloud, Project, otras licencias)
Se mencionan elementos pendientes: cotización/entrega por parte del BID (no entregada), una licencia (se menciona 'Paichart') con apoyo de Oscar, créditos de Google Vision no solicitados y el servicio 'Project' que está como servicio fijo en el contrato; se debe definir si se cambia o qué se hará con ese servicio. Jasbleidy indica que quedarán a la espera de respuesta del BID para en febrero activar licencias y créditos de Google Cloud.</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7F7F" w:sz="1"/>
              <w:left w:val="single" w:color="7F7F7F" w:sz="1"/>
              <w:bottom w:val="single" w:color="7F7F7F" w:sz="1"/>
              <w:right w:val="single" w:color="7F7F7F" w:sz="1"/>
            </w:tcBorders>
            <w:shd w:fill="D9E2F3" w:val="clear"/>
            <w:tcMar>
              <w:top w:type="dxa" w:w="60"/>
              <w:left w:type="dxa" w:w="100"/>
              <w:bottom w:type="dxa" w:w="60"/>
              <w:right w:type="dxa" w:w="100"/>
            </w:tcMar>
          </w:tcPr>
          <w:p>
            <w:r>
              <w:rPr>
                <w:b/>
                <w:bCs/>
                <w:sz w:val="22"/>
                <w:szCs w:val="22"/>
                <w:rFonts w:ascii="Arial" w:cs="Arial" w:eastAsia="Arial" w:hAnsi="Arial"/>
              </w:rPr>
              <w:t xml:space="preserve">Compromisos de la reunión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800"/>
        <w:gridCol w:w="1960"/>
        <w:gridCol w:w="1800"/>
      </w:tblGrid>
      <w:tr>
        <w:tc>
          <w:tcPr>
            <w:tcW w:type="dxa" w:w="8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Punto No.</w:t>
            </w:r>
          </w:p>
        </w:tc>
        <w:tc>
          <w:tcPr>
            <w:tcW w:type="dxa" w:w="30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Actividad</w:t>
            </w:r>
          </w:p>
        </w:tc>
        <w:tc>
          <w:tcPr>
            <w:tcW w:type="dxa" w:w="18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Responsable</w:t>
            </w:r>
          </w:p>
        </w:tc>
        <w:tc>
          <w:tcPr>
            <w:tcW w:type="dxa" w:w="196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Fecha prevista de cumplimiento</w:t>
            </w:r>
          </w:p>
        </w:tc>
        <w:tc>
          <w:tcPr>
            <w:tcW w:type="dxa" w:w="1800"/>
            <w:tcBorders>
              <w:top w:val="single" w:color="7F7F7F" w:sz="1"/>
              <w:left w:val="single" w:color="7F7F7F" w:sz="1"/>
              <w:bottom w:val="single" w:color="7F7F7F" w:sz="1"/>
              <w:right w:val="single" w:color="7F7F7F" w:sz="1"/>
            </w:tcBorders>
            <w:shd w:fill="1F3864" w:val="clear"/>
            <w:tcMar>
              <w:top w:type="dxa" w:w="60"/>
              <w:left w:type="dxa" w:w="100"/>
              <w:bottom w:type="dxa" w:w="60"/>
              <w:right w:type="dxa" w:w="100"/>
            </w:tcMar>
          </w:tcPr>
          <w:p>
            <w:r>
              <w:rPr>
                <w:b/>
                <w:bCs/>
                <w:color w:val="FFFFFF"/>
                <w:sz w:val="20"/>
                <w:szCs w:val="20"/>
                <w:rFonts w:ascii="Arial" w:cs="Arial" w:eastAsia="Arial" w:hAnsi="Arial"/>
              </w:rPr>
              <w:t xml:space="preserve">Comentarios</w:t>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incompatibilidad/caché en navegador Edge por imágenes/íconos que no cargan en el portal (p. ej., 'Datos abiertos')</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Adrián</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2</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opciones adicionales de optimización de rendimiento, especialmente en primera carga y acceso por VPN, e informar resultados</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3</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Gestionar aprobación por correo para permitir/subir archivos mayores a 2 MB (ajuste de parámetro PHP) y proceder según respuesta</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Yeiler</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4</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Enviar cotización formal para aumento de canal de Internet</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Germán Augusto Medina</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5</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Programar ventana de mantenimiento (sábado) para pruebas de disponibilidad/contingencia de canales y servicios (no depender de Calle 100) coordinando con usuarios e IFX</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6</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Enviar a los asistentes el informe/evidencia de IFX sobre corrección de política mal asociada</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7</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y simular escenario para validar por qué PeopleSoft no funcionó durante la caída; evaluar ajuste de NAT/segmentos permitidos</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8</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Revisar el informe de supervisión y entregar visto bueno para generar profactura</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Jasbleidy Triana Velasquez</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9</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Agilizar proceso para radicar informes en los primeros 5 días del mes y antes del 15 para cumplir cortes de facturación</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Jasbleidy Triana Velasquez</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10</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Compartir URL/acceso a la carpeta de contratos para que el proveedor cargue el documento solicitado</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Jasbleidy Triana Velasquez</w:t>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r>
        <w:tc>
          <w:tcPr>
            <w:tcW w:type="dxa" w:w="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11</w:t>
            </w:r>
          </w:p>
        </w:tc>
        <w:tc>
          <w:tcPr>
            <w:tcW w:type="dxa" w:w="30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t xml:space="preserve">Definir con el BID y el equipo la activación en febrero de licencias y créditos de Google Cloud/Google Vision y la decisión sobre el servicio 'Project'</w:t>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96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c>
          <w:tcPr>
            <w:tcW w:type="dxa" w:w="1800"/>
            <w:tcBorders>
              <w:top w:val="single" w:color="7F7F7F" w:sz="1"/>
              <w:left w:val="single" w:color="7F7F7F" w:sz="1"/>
              <w:bottom w:val="single" w:color="7F7F7F" w:sz="1"/>
              <w:right w:val="single" w:color="7F7F7F" w:sz="1"/>
            </w:tcBorders>
            <w:tcMar>
              <w:top w:type="dxa" w:w="60"/>
              <w:left w:type="dxa" w:w="100"/>
              <w:bottom w:type="dxa" w:w="60"/>
              <w:right w:type="dxa" w:w="100"/>
            </w:tcMar>
          </w:tcPr>
          <w:p>
            <w:r>
              <w:rPr>
                <w:sz w:val="20"/>
                <w:szCs w:val="20"/>
                <w:rFonts w:ascii="Arial" w:cs="Arial" w:eastAsia="Arial" w:hAnsi="Arial"/>
              </w:rPr>
            </w:r>
          </w:p>
        </w:tc>
      </w:tr>
    </w:tbl>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8d5-eddsvgptjt6wialj.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2026-02-26T23:07:57.644Z</dcterms:created>
  <dcterms:modified xsi:type="dcterms:W3CDTF">2026-02-26T23:07:57.644Z</dcterms:modified>
</cp:coreProperties>
</file>

<file path=docProps/custom.xml><?xml version="1.0" encoding="utf-8"?>
<Properties xmlns="http://schemas.openxmlformats.org/officeDocument/2006/custom-properties" xmlns:vt="http://schemas.openxmlformats.org/officeDocument/2006/docPropsVTypes"/>
</file>