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1828800"/>
                    </a:xfrm>
                    <a:prstGeom prst="rect">
                      <a:avLst/>
                    </a:prstGeom>
                  </pic:spPr>
                </pic:pic>
              </a:graphicData>
            </a:graphic>
          </wp:inline>
        </w:drawing>
      </w:r>
    </w:p>
    <w:p>
      <w:pPr>
        <w:spacing w:after="300"/>
        <w:jc w:val="center"/>
      </w:pPr>
      <w:r>
        <w:rPr>
          <w:b/>
          <w:bCs/>
          <w:u w:val="single"/>
          <w:sz w:val="28"/>
          <w:szCs w:val="28"/>
          <w:rFonts w:ascii="Arial" w:cs="Arial" w:eastAsia="Arial" w:hAnsi="Arial"/>
        </w:rPr>
        <w:t xml:space="preserve">ACTA DE SEGUIMIENTO: #0004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shd w:fill="D9E2F3" w:val="clear"/>
            <w:tcMar>
              <w:top w:type="dxa" w:w="60"/>
              <w:left w:type="dxa" w:w="100"/>
              <w:bottom w:type="dxa" w:w="60"/>
              <w:right w:type="dxa" w:w="100"/>
            </w:tcMar>
          </w:tcPr>
          <w:p>
            <w:r>
              <w:rPr>
                <w:b/>
                <w:bCs/>
                <w:sz w:val="22"/>
                <w:szCs w:val="22"/>
                <w:rFonts w:ascii="Arial" w:cs="Arial" w:eastAsia="Arial" w:hAnsi="Arial"/>
              </w:rPr>
              <w:t xml:space="preserve">Datos Básicos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Proyecto/Contrato</w:t>
            </w:r>
          </w:p>
        </w:tc>
        <w:tc>
          <w:tcPr>
            <w:tcW w:type="dxa" w:w="234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ATDAPREFCP2025 (TI-2026-001)</w:t>
            </w:r>
          </w:p>
        </w:tc>
        <w:tc>
          <w:tcPr>
            <w:tcW w:type="dxa" w:w="234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Entidad</w:t>
            </w:r>
          </w:p>
        </w:tc>
        <w:tc>
          <w:tcPr>
            <w:tcW w:type="dxa" w:w="234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Departamento Administrativo de la Presidencia de la República</w:t>
            </w:r>
          </w:p>
        </w:tc>
      </w:tr>
      <w:tr>
        <w:tc>
          <w:tcPr>
            <w:tcW w:type="dxa" w:w="234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Lugar de reunión</w:t>
            </w:r>
          </w:p>
        </w:tc>
        <w:tc>
          <w:tcPr>
            <w:tcW w:type="dxa" w:w="234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Virtual - Microsoft Teams</w:t>
            </w:r>
          </w:p>
        </w:tc>
        <w:tc>
          <w:tcPr>
            <w:tcW w:type="dxa" w:w="234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Fecha de reunión</w:t>
            </w:r>
          </w:p>
        </w:tc>
        <w:tc>
          <w:tcPr>
            <w:tcW w:type="dxa" w:w="234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shd w:fill="D9E2F3" w:val="clear"/>
            <w:tcMar>
              <w:top w:type="dxa" w:w="60"/>
              <w:left w:type="dxa" w:w="100"/>
              <w:bottom w:type="dxa" w:w="60"/>
              <w:right w:type="dxa" w:w="100"/>
            </w:tcMar>
          </w:tcPr>
          <w:p>
            <w:r>
              <w:rPr>
                <w:b/>
                <w:bCs/>
                <w:sz w:val="22"/>
                <w:szCs w:val="22"/>
                <w:rFonts w:ascii="Arial" w:cs="Arial" w:eastAsia="Arial" w:hAnsi="Arial"/>
              </w:rPr>
              <w:t xml:space="preserve">Asistentes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Nombre</w:t>
            </w:r>
          </w:p>
        </w:tc>
        <w:tc>
          <w:tcPr>
            <w:tcW w:type="dxa" w:w="312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Cargo</w:t>
            </w:r>
          </w:p>
        </w:tc>
        <w:tc>
          <w:tcPr>
            <w:tcW w:type="dxa" w:w="312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En representación de</w:t>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Jasbleidy Triana Velasquez</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Oscar Roa</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Germán Augusto Medina</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Adrián</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Jorge</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Ingeniero</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Mercedes</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Diego</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Yeiler</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Jamer</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bl>
    <w:p>
      <w:pPr>
        <w:spacing w:before="100"/>
      </w:pPr>
      <w:r>
        <w:rPr>
          <w:i/>
          <w:iCs/>
          <w:color w:val="666666"/>
          <w:sz w:val="16"/>
          <w:szCs w:val="16"/>
          <w:rFonts w:ascii="Arial" w:cs="Arial" w:eastAsia="Arial" w:hAnsi="Arial"/>
        </w:rPr>
        <w:t xml:space="preserve">* La presente acta se remite como ayuda de memoria de la sesión realizada. En caso de no recibir observaciones o comentarios en un plazo de cinco (5) días hábiles, se considerará aprobado su contenido.</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shd w:fill="D9E2F3" w:val="clear"/>
            <w:tcMar>
              <w:top w:type="dxa" w:w="60"/>
              <w:left w:type="dxa" w:w="100"/>
              <w:bottom w:type="dxa" w:w="60"/>
              <w:right w:type="dxa" w:w="100"/>
            </w:tcMar>
          </w:tcPr>
          <w:p>
            <w:r>
              <w:rPr>
                <w:b/>
                <w:bCs/>
                <w:sz w:val="22"/>
                <w:szCs w:val="22"/>
                <w:rFonts w:ascii="Arial" w:cs="Arial" w:eastAsia="Arial" w:hAnsi="Arial"/>
              </w:rPr>
              <w:t xml:space="preserve">Propósito de la reunión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Revisar informe de enero del servicio TI: costos, migración y disponibilidad de portales, incidencias, licencias y pendientes técnicos/operativos.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shd w:fill="D9E2F3" w:val="clear"/>
            <w:tcMar>
              <w:top w:type="dxa" w:w="60"/>
              <w:left w:type="dxa" w:w="100"/>
              <w:bottom w:type="dxa" w:w="60"/>
              <w:right w:type="dxa" w:w="100"/>
            </w:tcMar>
          </w:tcPr>
          <w:p>
            <w:r>
              <w:rPr>
                <w:b/>
                <w:bCs/>
                <w:sz w:val="22"/>
                <w:szCs w:val="22"/>
                <w:rFonts w:ascii="Arial" w:cs="Arial" w:eastAsia="Arial" w:hAnsi="Arial"/>
              </w:rPr>
              <w:t xml:space="preserve">Agenda del día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 Revisión de costos Azure y consumo (storage, máquinas virtuales) y carga de créditos</w:t>
            </w:r>
          </w:p>
          <w:p>
            <w:r>
              <w:rPr>
                <w:sz w:val="20"/>
                <w:szCs w:val="20"/>
                <w:rFonts w:ascii="Arial" w:cs="Arial" w:eastAsia="Arial" w:hAnsi="Arial"/>
              </w:rPr>
              <w:t xml:space="preserve">2. Estado de migración de portales a App Service y actividades técnicas (plugins, BD, TLS, optimización)</w:t>
            </w:r>
          </w:p>
          <w:p>
            <w:r>
              <w:rPr>
                <w:sz w:val="20"/>
                <w:szCs w:val="20"/>
                <w:rFonts w:ascii="Arial" w:cs="Arial" w:eastAsia="Arial" w:hAnsi="Arial"/>
              </w:rPr>
              <w:t xml:space="preserve">3. Validación de disponibilidad, rendimiento y hallazgos (caché, compatibilidad de navegador, acceso por VPN)</w:t>
            </w:r>
          </w:p>
          <w:p>
            <w:r>
              <w:rPr>
                <w:sz w:val="20"/>
                <w:szCs w:val="20"/>
                <w:rFonts w:ascii="Arial" w:cs="Arial" w:eastAsia="Arial" w:hAnsi="Arial"/>
              </w:rPr>
              <w:t xml:space="preserve">4. Backups, inventario de máquinas respaldadas e incidentes de conectividad/energía</w:t>
            </w:r>
          </w:p>
          <w:p>
            <w:r>
              <w:rPr>
                <w:sz w:val="20"/>
                <w:szCs w:val="20"/>
                <w:rFonts w:ascii="Arial" w:cs="Arial" w:eastAsia="Arial" w:hAnsi="Arial"/>
              </w:rPr>
              <w:t xml:space="preserve">5. Canales de comunicación, negociación de aumento de canal de Internet y solicitud de cotización</w:t>
            </w:r>
          </w:p>
          <w:p>
            <w:r>
              <w:rPr>
                <w:sz w:val="20"/>
                <w:szCs w:val="20"/>
                <w:rFonts w:ascii="Arial" w:cs="Arial" w:eastAsia="Arial" w:hAnsi="Arial"/>
              </w:rPr>
              <w:t xml:space="preserve">6. Gestión de archivos grandes (&gt;2MB) en el portal y aprobación para ajuste de parámetro PHP</w:t>
            </w:r>
          </w:p>
          <w:p>
            <w:r>
              <w:rPr>
                <w:sz w:val="20"/>
                <w:szCs w:val="20"/>
                <w:rFonts w:ascii="Arial" w:cs="Arial" w:eastAsia="Arial" w:hAnsi="Arial"/>
              </w:rPr>
              <w:t xml:space="preserve">7. Pendientes: pruebas de contingencia (72 vs 100), PeopleSoft por VPN/NAT, envío de informe IFX, radicación/facturación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No.</w:t>
            </w:r>
          </w:p>
        </w:tc>
        <w:tc>
          <w:tcPr>
            <w:tcW w:type="dxa" w:w="856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Desarrollo de la Agenda</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Costos Azure (enero) y principales consumos</w:t>
            </w:r>
          </w:p>
          <w:p>
            <w:r>
              <w:rPr>
                <w:sz w:val="20"/>
                <w:szCs w:val="20"/>
                <w:rFonts w:ascii="Arial" w:cs="Arial" w:eastAsia="Arial" w:hAnsi="Arial"/>
              </w:rPr>
              <w:t xml:space="preserve">Se revisaron los costos del mes de enero y la distribución por servicios. Se indicó que el mayor consumo corresponde al almacenamiento (storage) y que también hay costos relevantes por máquinas virtuales. Se mencionó que el 28 de enero se realizó la carga de créditos y se mostró evidencia de los cargos. Se aclaró que el incremento asociado a la migración de páginas al nuevo servicio fue de aproximadamente 7 USD mensuales por servicio.</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2</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Migración de portales y arquitectura en App Service</w:t>
            </w:r>
          </w:p>
          <w:p>
            <w:r>
              <w:rPr>
                <w:sz w:val="20"/>
                <w:szCs w:val="20"/>
                <w:rFonts w:ascii="Arial" w:cs="Arial" w:eastAsia="Arial" w:hAnsi="Arial"/>
              </w:rPr>
              <w:t xml:space="preserve">Se informó que durante el periodo se realizó la migración de dos portales y la entrega en ambiente de preproducción. Se documentó el diseño de arquitectura en Azure App Service (PaaS), configuración del App Service, validación de memoria/almacenamiento y disponibilidad, y compatibilidad de plugins, bases de datos y dependencias. Se crearon bases de datos externas en Azure Database for MySQL con instancias independientes por App Service y conexión restringida mediante certificados TLS.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3</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Actualización de plugins y pruebas funcionales</w:t>
            </w:r>
          </w:p>
          <w:p>
            <w:r>
              <w:rPr>
                <w:sz w:val="20"/>
                <w:szCs w:val="20"/>
                <w:rFonts w:ascii="Arial" w:cs="Arial" w:eastAsia="Arial" w:hAnsi="Arial"/>
              </w:rPr>
              <w:t xml:space="preserve">Para el portal del Fondo Colombia en Paz se actualizaron aproximadamente 28 plugins durante la semana. Se indicó que Adrián tiene asignada la tarea de realizar revisiones/actualizaciones semanales para evitar desactualización de plugins. Se realizaron pruebas de funcionalidad y validación de contenidos.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4</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Depuración de almacenamiento y optimización de rendimiento</w:t>
            </w:r>
          </w:p>
          <w:p>
            <w:r>
              <w:rPr>
                <w:sz w:val="20"/>
                <w:szCs w:val="20"/>
                <w:rFonts w:ascii="Arial" w:cs="Arial" w:eastAsia="Arial" w:hAnsi="Arial"/>
              </w:rPr>
              <w:t xml:space="preserve">Se explicó que el sitio del Fondo Colombia en Paz tenía un tamaño aproximado de 100 GB en Azure y, tras depuración/migración, quedó en 50 GB (reducción a la mitad). Se reportó optimización y mejora notable en tiempos de carga; se mostraron mediciones con tiempos de carga total inferiores a 1 segundo en condiciones normales.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5</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Imágenes/íconos que no cargan y compatibilidad de navegadores (Edge) / caché</w:t>
            </w:r>
          </w:p>
          <w:p>
            <w:r>
              <w:rPr>
                <w:sz w:val="20"/>
                <w:szCs w:val="20"/>
                <w:rFonts w:ascii="Arial" w:cs="Arial" w:eastAsia="Arial" w:hAnsi="Arial"/>
              </w:rPr>
              <w:t xml:space="preserve">Se revisó un caso donde ciertas imágenes/íconos (por ejemplo, en 'Datos abiertos' y sección inferior con datos del fondo) no cargaban consistentemente. Se atribuyó a caché y/o compatibilidad con Microsoft Edge, ya que en Chrome y en dispositivos móviles sí cargaba. Adrián quedó revisando la causa para corregir la incompatibilidad.</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6</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Rendimiento desde VPN vs sin VPN y comportamiento de primera carga</w:t>
            </w:r>
          </w:p>
          <w:p>
            <w:r>
              <w:rPr>
                <w:sz w:val="20"/>
                <w:szCs w:val="20"/>
                <w:rFonts w:ascii="Arial" w:cs="Arial" w:eastAsia="Arial" w:hAnsi="Arial"/>
              </w:rPr>
              <w:t xml:space="preserve">Se discutió que desde teletrabajo sin VPN la página carga muy rápido (inferior a 1 segundo), pero al conectarse por VPN la primera carga puede tardar 3-4 segundos (en algunos casos reportados hasta ~20 segundos). Se explicó que la primera carga es más lenta y luego mejora por parametrización de caché en el navegador; se indicó que esto debe ocurrir por equipo. Se acordó revisar si hay optimizaciones adicionales posibles e informar resultados.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7</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Carga de archivos mayores a 2 MB en el portal (convocatorias) y ajuste de PHP</w:t>
            </w:r>
          </w:p>
          <w:p>
            <w:r>
              <w:rPr>
                <w:sz w:val="20"/>
                <w:szCs w:val="20"/>
                <w:rFonts w:ascii="Arial" w:cs="Arial" w:eastAsia="Arial" w:hAnsi="Arial"/>
              </w:rPr>
              <w:t xml:space="preserve">Se planteó la necesidad de subir archivos de convocatorias mayores a 2 MB, lo cual no estaba permitido. El equipo técnico recomendó no subir archivos muy pesados (6-8 MB) para evitar ralentización y dependencia de la calidad de internet del usuario. Se indicó que, si se aprueba, el ajuste es un parámetro de PHP para permitir la subida; se solicitó respuesta de aprobación por correo (responder 'aprobado') para proceder.</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8</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Disponibilidad de portales (enero) y monitoreo</w:t>
            </w:r>
          </w:p>
          <w:p>
            <w:r>
              <w:rPr>
                <w:sz w:val="20"/>
                <w:szCs w:val="20"/>
                <w:rFonts w:ascii="Arial" w:cs="Arial" w:eastAsia="Arial" w:hAnsi="Arial"/>
              </w:rPr>
              <w:t xml:space="preserve">Se reportó que los portales estuvieron al 100% de disponibilidad entre el 1 y el 31 de enero, sin caídas. Se mencionó el mantenimiento de la licencia de Metricool para 5 portales.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9</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Backups y cantidad de máquinas respaldadas</w:t>
            </w:r>
          </w:p>
          <w:p>
            <w:r>
              <w:rPr>
                <w:sz w:val="20"/>
                <w:szCs w:val="20"/>
                <w:rFonts w:ascii="Arial" w:cs="Arial" w:eastAsia="Arial" w:hAnsi="Arial"/>
              </w:rPr>
              <w:t xml:space="preserve">Se informó generación de backups en infraestructura on-premise con 31 ejecuciones diarias y 4 semanales; tiempos aproximados: 11 y 4 minutos (incrementales/full) y 22 minutos promedio para semanal. Se mencionó respaldo de 21 correos cancelados en enero y copias de seguridad de máquinas en Azure. Ante la pregunta por el número de máquinas, se indicó un conteo cercano a 22 (se mencionan cifras intermedias 23 y luego conteo que termina en 22) respaldadas.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10</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Incidentes de conectividad/energía y canales de comunicación</w:t>
            </w:r>
          </w:p>
          <w:p>
            <w:r>
              <w:rPr>
                <w:sz w:val="20"/>
                <w:szCs w:val="20"/>
                <w:rFonts w:ascii="Arial" w:cs="Arial" w:eastAsia="Arial" w:hAnsi="Arial"/>
              </w:rPr>
              <w:t xml:space="preserve">Se revisó una caída el 23 de enero con indisponibilidad reportada: 2 horas 41 minutos en sede calle 72 y 5 horas en sede calle 100 (asociado a apagado de UPS). Se indicó que la MPLS estuvo al 100% por depender de otro proveedor. Se mencionó negociación con proveedor para aumentar el canal de internet, pero que no se lograron las cotizaciones inicialmente por requerimientos de visitas técnicas.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11</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Solicitud de cotización formal para aumento de canal de Internet</w:t>
            </w:r>
          </w:p>
          <w:p>
            <w:r>
              <w:rPr>
                <w:sz w:val="20"/>
                <w:szCs w:val="20"/>
                <w:rFonts w:ascii="Arial" w:cs="Arial" w:eastAsia="Arial" w:hAnsi="Arial"/>
              </w:rPr>
              <w:t xml:space="preserve">Jasbleidy solicitó una cotización formal por parte del proveedor/consorcio. Germán confirmó que la enviarán, aclarando que los proveedores exigen programar visitas por posibles faltas de acometidas en las instalaciones.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12</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Falla de servidor físico (18 de enero) y restauración de servicios</w:t>
            </w:r>
          </w:p>
          <w:p>
            <w:r>
              <w:rPr>
                <w:sz w:val="20"/>
                <w:szCs w:val="20"/>
                <w:rFonts w:ascii="Arial" w:cs="Arial" w:eastAsia="Arial" w:hAnsi="Arial"/>
              </w:rPr>
              <w:t xml:space="preserve">Se reportó una falla el 18 de enero en servidores físicos atribuida a picos/fallas eléctricas, afectando fuente de poder y tarjeta principal (board). Se realizó reemplazo de tarjeta principal y fuentes de poder, y se restauraron servicios: directorio activo, conexiones, copias de seguridad, sonda de monitoreo, mesa de servicio y máquinas en Hyper-V. Se validaron backups y se generaron respaldos posteriores.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13</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Comunicaciones unificadas - implementación de IVR</w:t>
            </w:r>
          </w:p>
          <w:p>
            <w:r>
              <w:rPr>
                <w:sz w:val="20"/>
                <w:szCs w:val="20"/>
                <w:rFonts w:ascii="Arial" w:cs="Arial" w:eastAsia="Arial" w:hAnsi="Arial"/>
              </w:rPr>
              <w:t xml:space="preserve">Se indicó que ya se implementó el IVR y que no se recibió retroalimentación negativa; Jasbleidy manifestó que ya se verificó la configuración y quedó con visto bueno.</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14</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Licencias y servicios pendientes (tramo final de la transcripción)</w:t>
            </w:r>
          </w:p>
          <w:p>
            <w:r>
              <w:rPr>
                <w:sz w:val="20"/>
                <w:szCs w:val="20"/>
                <w:rFonts w:ascii="Arial" w:cs="Arial" w:eastAsia="Arial" w:hAnsi="Arial"/>
              </w:rPr>
              <w:t xml:space="preserve">Se mencionaron elementos de licenciamiento/servicios: 21 equipos con licencias integradas, 30 licencias adicionales y un componente para sala de juntas; se indicó que una cotización del BID no se ha entregado. Se mencionó licencia de 'Paichart' (apoyada por Oscar), créditos de Google Vision no solicitados y el servicio 'Project' como servicio fijo en contrato, pendiente de definir si se cambia o qué se hará.</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15</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Pruebas de contingencia de canales entre Dirección Ejecutiva y Consorcio (IFX) y ventana de mantenimiento</w:t>
            </w:r>
          </w:p>
          <w:p>
            <w:r>
              <w:rPr>
                <w:sz w:val="20"/>
                <w:szCs w:val="20"/>
                <w:rFonts w:ascii="Arial" w:cs="Arial" w:eastAsia="Arial" w:hAnsi="Arial"/>
              </w:rPr>
              <w:t xml:space="preserve">Jasbleidy recordó un pendiente para validar funcionalidad de canales entre Dirección Ejecutiva y Consorcio para no depender de un solo sitio. Se indicó que en teoría se evidenció durante el día de la caída de energía, sin intermitencia en sede 72, pero se programará una ventana de mantenimiento (posiblemente un sábado) con disponibilidad de usuarios y coordinación con IFX. Se ofreció enviar informe de IFX indicando que se corrigió una política mal asociada.</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16</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PeopleSoft no funcionó durante la caída y análisis de NAT/segmentos IP</w:t>
            </w:r>
          </w:p>
          <w:p>
            <w:r>
              <w:rPr>
                <w:sz w:val="20"/>
                <w:szCs w:val="20"/>
                <w:rFonts w:ascii="Arial" w:cs="Arial" w:eastAsia="Arial" w:hAnsi="Arial"/>
              </w:rPr>
              <w:t xml:space="preserve">Se reportó que el día de la caída no funcionó PeopleSoft. Se explicó que por VPN se asigna una IP que no está permitida en el segmento de Fiduprevisora; el NAT podría redirigir a IP de sede 72 o 100, y si toma la de 100 podría quedar por fuera. Se dejó como pendiente revisar y simular el escenario para determinar si se debe ampliar/ajustar el segmento para que PeopleSoft quede por la IP de sede 72, considerando el impacto en contingencia.</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17</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Revisión del informe, visto bueno y proceso de facturación/radicación</w:t>
            </w:r>
          </w:p>
          <w:p>
            <w:r>
              <w:rPr>
                <w:sz w:val="20"/>
                <w:szCs w:val="20"/>
                <w:rFonts w:ascii="Arial" w:cs="Arial" w:eastAsia="Arial" w:hAnsi="Arial"/>
              </w:rPr>
              <w:t xml:space="preserve">Jasbleidy indicó que revisarán el informe durante la semana y que hacia el viernes darían el visto bueno para generar la prefactura. El equipo técnico solicitó agilizar para radicar dentro de los primeros 5 días del mes y, al menos, antes del 15, alineado con cortes de facturación de Fiduprevisora (se mencionó que se radicó el 6 de febrero).</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18</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Carga de documento en URL/carpeta de contratos</w:t>
            </w:r>
          </w:p>
          <w:p>
            <w:r>
              <w:rPr>
                <w:sz w:val="20"/>
                <w:szCs w:val="20"/>
                <w:rFonts w:ascii="Arial" w:cs="Arial" w:eastAsia="Arial" w:hAnsi="Arial"/>
              </w:rPr>
              <w:t xml:space="preserve">Se solicitó a Jasbleidy compartir la URL específica para que el equipo técnico suba el documento a la carpeta donde quedan los contratos. Quedó pendiente el acceso/enlace para realizar la carga.</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shd w:fill="D9E2F3" w:val="clear"/>
            <w:tcMar>
              <w:top w:type="dxa" w:w="60"/>
              <w:left w:type="dxa" w:w="100"/>
              <w:bottom w:type="dxa" w:w="60"/>
              <w:right w:type="dxa" w:w="100"/>
            </w:tcMar>
          </w:tcPr>
          <w:p>
            <w:r>
              <w:rPr>
                <w:b/>
                <w:bCs/>
                <w:sz w:val="22"/>
                <w:szCs w:val="22"/>
                <w:rFonts w:ascii="Arial" w:cs="Arial" w:eastAsia="Arial" w:hAnsi="Arial"/>
              </w:rPr>
              <w:t xml:space="preserve">Compromisos de la reunión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800"/>
        <w:gridCol w:w="1960"/>
        <w:gridCol w:w="1800"/>
      </w:tblGrid>
      <w:tr>
        <w:tc>
          <w:tcPr>
            <w:tcW w:type="dxa" w:w="80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Punto No.</w:t>
            </w:r>
          </w:p>
        </w:tc>
        <w:tc>
          <w:tcPr>
            <w:tcW w:type="dxa" w:w="300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Actividad</w:t>
            </w:r>
          </w:p>
        </w:tc>
        <w:tc>
          <w:tcPr>
            <w:tcW w:type="dxa" w:w="180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Responsable</w:t>
            </w:r>
          </w:p>
        </w:tc>
        <w:tc>
          <w:tcPr>
            <w:tcW w:type="dxa" w:w="196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Fecha prevista de cumplimiento</w:t>
            </w:r>
          </w:p>
        </w:tc>
        <w:tc>
          <w:tcPr>
            <w:tcW w:type="dxa" w:w="180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Comentarios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Revisar incompatibilidad/caché en Edge por imágenes/íconos que no cargan (p. ej., 'Datos abiertos' y sección inferior) y proponer corrección</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Adrián</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2</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Revisar optimizaciones adicionales de rendimiento (especialmente primera carga por VPN) e informar resultados</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3</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Enviar cotización formal para aumento de canal de Internet</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Germán Augusto Medina</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4</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Responder correo de aprobación para permitir subida de archivos mayores a 2 MB (ajuste de parámetro PHP) o confirmar que no se autoriza</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Jasbleidy Triana Velasquez</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5</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Si se aprueba, realizar ajuste de parámetro PHP para permitir subida de archivos grandes y/o realizar la subida solicitada</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6</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Programar y coordinar ventana de mantenimiento (sábado por definir) para pruebas de disponibilidad/contingencia de canales (evitar dependencia entre sedes 72 y 100) con usuarios e IFX</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7</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Enviar a los asistentes el informe/evidencia de IFX sobre corrección de política mal asociada</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8</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Revisar incidente de PeopleSoft durante caída: simular escenario, validar NAT/segmentos IP y definir ajuste requerido</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9</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Revisar informe de supervisión y emitir visto bueno para generar prefactura</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Jasbleidy Triana Velasquez</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10</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Compartir URL/acceso para que el equipo técnico cargue el documento en la carpeta de contratos</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Jasbleidy Triana Velasquez</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11</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Cargar el documento en la URL/carpeta de contratos una vez se reciba el acceso</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bl>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gvbopy6oxzcm7vljvq-q.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2026-02-26T23:32:36.176Z</dcterms:created>
  <dcterms:modified xsi:type="dcterms:W3CDTF">2026-02-26T23:32:36.176Z</dcterms:modified>
</cp:coreProperties>
</file>

<file path=docProps/custom.xml><?xml version="1.0" encoding="utf-8"?>
<Properties xmlns="http://schemas.openxmlformats.org/officeDocument/2006/custom-properties" xmlns:vt="http://schemas.openxmlformats.org/officeDocument/2006/docPropsVTypes"/>
</file>