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How Legendary Traders Enter Breakouts (Minervini, Kullamagi, Darvas, O’Neil)</w:t>
      </w:r>
    </w:p>
    <w:p>
      <w:r>
        <w:t xml:space="preserve">
</w:t>
      </w:r>
      <w:r>
        <w:rPr>
          <w:b/>
          <w:bCs/>
          <w:sz w:val="24"/>
          <w:szCs w:val="24"/>
          <w:rFonts w:ascii="Calibri" w:cs="Calibri" w:eastAsia="Calibri" w:hAnsi="Calibri"/>
        </w:rPr>
        <w:t xml:space="preserve">Transcrito por </w:t>
      </w:r>
      <w:hyperlink w:history="1" r:id="rIdnvihj7ilnoa3fzh21mcnf">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9mcgnxpnfagj95kjia4z">
        <w:r>
          <w:rPr>
            <w:b/>
            <w:bCs/>
            <w:sz w:val="24"/>
            <w:szCs w:val="24"/>
            <w:rStyle w:val="Hyperlink"/>
            <w:rFonts w:ascii="Calibri" w:cs="Calibri" w:eastAsia="Calibri" w:hAnsi="Calibri"/>
          </w:rPr>
          <w:t xml:space="preserve">Actualizar a Ilimitado</w:t>
        </w:r>
      </w:hyperlink>
      <w:r>
        <w:rPr>
          <w:b/>
          <w:bCs/>
          <w:sz w:val="24"/>
          <w:szCs w:val="24"/>
          <w:rFonts w:ascii="Calibri" w:cs="Calibri" w:eastAsia="Calibri" w:hAnsi="Calibri"/>
        </w:rPr>
        <w:t xml:space="preserve"> para eliminar este mensaje.</w:t>
      </w:r>
      <w:r>
        <w:t xml:space="preserve">
</w:t>
      </w:r>
    </w:p>
    <w:p>
      <w:r>
        <w:rPr>
          <w:sz w:val="24"/>
          <w:szCs w:val="24"/>
          <w:rFonts w:ascii="Calibri" w:cs="Calibri" w:eastAsia="Calibri" w:hAnsi="Calibri"/>
        </w:rPr>
        <w:t xml:space="preserve">En este video, discutiremos las técnicas de entrada de intercambios de intercambios de los compradores legendarios, Mark Minervini, Christian Columaghi, Nicholas Darvus y William O'Neill. Disectaremos las técnicas de entrada precisas que separan a estos maestros de los compradores medianos. Al final de este video, entenderás exactamente cómo cada comprador identifica, entra y maneja sus equipos de intercambios de signos, los patrones específicos que han generado su performance legendaria.</w:t>
      </w:r>
    </w:p>
    <w:p>
      <w:r>
        <w:rPr>
          <w:sz w:val="24"/>
          <w:szCs w:val="24"/>
          <w:rFonts w:ascii="Calibri" w:cs="Calibri" w:eastAsia="Calibri" w:hAnsi="Calibri"/>
        </w:rPr>
      </w:r>
    </w:p>
    <w:p>
      <w:r>
        <w:rPr>
          <w:sz w:val="24"/>
          <w:szCs w:val="24"/>
          <w:rFonts w:ascii="Calibri" w:cs="Calibri" w:eastAsia="Calibri" w:hAnsi="Calibri"/>
        </w:rPr>
        <w:t xml:space="preserve">Las matemáticas de intercambios de intercambios son deceptivamente simples. Identifica los intercambios generados a partir de períodos de consolidación, entra a puntos de inflexión precisos, maneja el riesgo a través del puesto de intercambios sistemáticos y mantiene una expectativa positiva por encontrar intercambios que ofrecen recompensas que son riesgos múltiples veces. A pesar de la simplicidad, la mayoría de los compradores no son capaces de replicar las performancias que han cambiado la vida de estos legendarios.</w:t>
      </w:r>
    </w:p>
    <w:p>
      <w:r>
        <w:rPr>
          <w:sz w:val="24"/>
          <w:szCs w:val="24"/>
          <w:rFonts w:ascii="Calibri" w:cs="Calibri" w:eastAsia="Calibri" w:hAnsi="Calibri"/>
        </w:rPr>
      </w:r>
    </w:p>
    <w:p>
      <w:r>
        <w:rPr>
          <w:sz w:val="24"/>
          <w:szCs w:val="24"/>
          <w:rFonts w:ascii="Calibri" w:cs="Calibri" w:eastAsia="Calibri" w:hAnsi="Calibri"/>
        </w:rPr>
        <w:t xml:space="preserve">Estas técnicas de entrada y su manejo de intercambios disciplinados han ayudado a que Mark Minervini aumente 220% anualmente durante seis años y a que Cristian Colomaghi transforme 9100 dólares en 82 millones. Nicholas Darvus ha convertido 10.000 dólares en 2 millones, equivalente a 46 millones de dólares en el dinero actual, y la metodología de William O'Neill de CanSlim ha identificado a innumerables multijugadores durante décadas. Empecemos con el patrón de volatilidad de Mark Minervini, o sistema VCP.</w:t>
      </w:r>
    </w:p>
    <w:p>
      <w:r>
        <w:rPr>
          <w:sz w:val="24"/>
          <w:szCs w:val="24"/>
          <w:rFonts w:ascii="Calibri" w:cs="Calibri" w:eastAsia="Calibri" w:hAnsi="Calibri"/>
        </w:rPr>
      </w:r>
    </w:p>
    <w:p>
      <w:r>
        <w:rPr>
          <w:sz w:val="24"/>
          <w:szCs w:val="24"/>
          <w:rFonts w:ascii="Calibri" w:cs="Calibri" w:eastAsia="Calibri" w:hAnsi="Calibri"/>
        </w:rPr>
        <w:t xml:space="preserve">Su metodología requiere cuatro elementos críticos antes de considerar cualquier entrada. Primero, la fundación de análisis de la etapa. Para Longs, Minervini solo considera las ventas en la etapa 2, la fase avanzada, con una alta fuerza relativa.</w:t>
      </w:r>
    </w:p>
    <w:p>
      <w:r>
        <w:rPr>
          <w:sz w:val="24"/>
          <w:szCs w:val="24"/>
          <w:rFonts w:ascii="Calibri" w:cs="Calibri" w:eastAsia="Calibri" w:hAnsi="Calibri"/>
        </w:rPr>
      </w:r>
    </w:p>
    <w:p>
      <w:r>
        <w:rPr>
          <w:sz w:val="24"/>
          <w:szCs w:val="24"/>
          <w:rFonts w:ascii="Calibri" w:cs="Calibri" w:eastAsia="Calibri" w:hAnsi="Calibri"/>
        </w:rPr>
        <w:t xml:space="preserve">Esto elimina la mayoría de ventas que estallan inmediatamente, centrando la atención en ventas fuertes con acumulación institucional evidenciada por un precio above el promedio de movimiento de 200 días y del promedio de movimiento de 50 días en un patrón de aumento claro de altos y bajos. El promedio de movimiento de 200 días debe estar aumentando, no flotando o descalzando. Este único filtro elimina ventas en las fases de distribución o base, asegurando la alineación con la dirección principal de las tendencias.</w:t>
      </w:r>
    </w:p>
    <w:p>
      <w:r>
        <w:rPr>
          <w:sz w:val="24"/>
          <w:szCs w:val="24"/>
          <w:rFonts w:ascii="Calibri" w:cs="Calibri" w:eastAsia="Calibri" w:hAnsi="Calibri"/>
        </w:rPr>
      </w:r>
    </w:p>
    <w:p>
      <w:r>
        <w:rPr>
          <w:sz w:val="24"/>
          <w:szCs w:val="24"/>
          <w:rFonts w:ascii="Calibri" w:cs="Calibri" w:eastAsia="Calibri" w:hAnsi="Calibri"/>
        </w:rPr>
        <w:t xml:space="preserve">La arquitectura VCP. El patrón de volatilidad de Mark Minervini muestra una serie de retrasos con cada desviación sucesiva seca y estrecha. El patrón típicamente muestra tres o más retrasos, con cada retraso mostrando una reducida volatilidad comparada con la corrección anterior.</w:t>
      </w:r>
    </w:p>
    <w:p>
      <w:r>
        <w:rPr>
          <w:sz w:val="24"/>
          <w:szCs w:val="24"/>
          <w:rFonts w:ascii="Calibri" w:cs="Calibri" w:eastAsia="Calibri" w:hAnsi="Calibri"/>
        </w:rPr>
      </w:r>
    </w:p>
    <w:p>
      <w:r>
        <w:rPr>
          <w:sz w:val="24"/>
          <w:szCs w:val="24"/>
          <w:rFonts w:ascii="Calibri" w:cs="Calibri" w:eastAsia="Calibri" w:hAnsi="Calibri"/>
        </w:rPr>
        <w:t xml:space="preserve">El primer retraso puede ser de 15-20%, el segundo, de 8-12% y el tercer, de 3-8%. Este retraso progresivo indica un aumento en el control por las manos fuertes y una disminución en la presión de la venta. El volumen debería contractarse significativamente durante cada retraso, especialmente en la última contracción.</w:t>
      </w:r>
    </w:p>
    <w:p>
      <w:r>
        <w:rPr>
          <w:sz w:val="24"/>
          <w:szCs w:val="24"/>
          <w:rFonts w:ascii="Calibri" w:cs="Calibri" w:eastAsia="Calibri" w:hAnsi="Calibri"/>
        </w:rPr>
      </w:r>
    </w:p>
    <w:p>
      <w:r>
        <w:rPr>
          <w:sz w:val="24"/>
          <w:szCs w:val="24"/>
          <w:rFonts w:ascii="Calibri" w:cs="Calibri" w:eastAsia="Calibri" w:hAnsi="Calibri"/>
        </w:rPr>
        <w:t xml:space="preserve">El retraso de entrada. El retraso ocurre cuando el precio se desvanece por encima del máximo recorrido más reciente en el volumen expandido. Minervini empieza a destacar que la expansión de volumen debe acompañar el retraso, típicamente de 40-50% por encima de la media.</w:t>
      </w:r>
    </w:p>
    <w:p>
      <w:r>
        <w:rPr>
          <w:sz w:val="24"/>
          <w:szCs w:val="24"/>
          <w:rFonts w:ascii="Calibri" w:cs="Calibri" w:eastAsia="Calibri" w:hAnsi="Calibri"/>
        </w:rPr>
      </w:r>
    </w:p>
    <w:p>
      <w:r>
        <w:rPr>
          <w:sz w:val="24"/>
          <w:szCs w:val="24"/>
          <w:rFonts w:ascii="Calibri" w:cs="Calibri" w:eastAsia="Calibri" w:hAnsi="Calibri"/>
        </w:rPr>
        <w:t xml:space="preserve">Su técnica de entrada involucra la compra mientras la venta pasa por el punto de recorrido, sin esperar el cierre diario. Este retraso agresivo captura el movimiento desde la incepción del retraso, mientras mantiene los parámetros de riesgo tigres creados por el retraso final de la VCP. Integración de gestión de riesgo.</w:t>
      </w:r>
    </w:p>
    <w:p>
      <w:r>
        <w:rPr>
          <w:sz w:val="24"/>
          <w:szCs w:val="24"/>
          <w:rFonts w:ascii="Calibri" w:cs="Calibri" w:eastAsia="Calibri" w:hAnsi="Calibri"/>
        </w:rPr>
      </w:r>
    </w:p>
    <w:p>
      <w:r>
        <w:rPr>
          <w:sz w:val="24"/>
          <w:szCs w:val="24"/>
          <w:rFonts w:ascii="Calibri" w:cs="Calibri" w:eastAsia="Calibri" w:hAnsi="Calibri"/>
        </w:rPr>
        <w:t xml:space="preserve">La contracción final de la VCP típicamente permite retrasos de 3-7% por encima de la entrada, creando la asimetría de la recompensa de riesgo esencial para el crecimiento geométrico. Minervini pone retrasos por encima del mínimo recorrido más reciente, asegurando que salga si el patrón de contracción falla. Cuando FTAI Aviación Ltd.</w:t>
      </w:r>
    </w:p>
    <w:p>
      <w:r>
        <w:rPr>
          <w:sz w:val="24"/>
          <w:szCs w:val="24"/>
          <w:rFonts w:ascii="Calibri" w:cs="Calibri" w:eastAsia="Calibri" w:hAnsi="Calibri"/>
        </w:rPr>
      </w:r>
    </w:p>
    <w:p>
      <w:r>
        <w:rPr>
          <w:sz w:val="24"/>
          <w:szCs w:val="24"/>
          <w:rFonts w:ascii="Calibri" w:cs="Calibri" w:eastAsia="Calibri" w:hAnsi="Calibri"/>
        </w:rPr>
        <w:t xml:space="preserve">formó una VCP en 2025 después de su movimiento de más del 100% de los bajos, el patrón mostró retrasos progresivamente más tigres. Primero 23%, luego 12%, luego 3%. El retraso por encima de los $176 en volumen masivo proporcionó entrada con una pausa cerca de los $170, un riesgo de aproximadamente 3,5% para lo que se convirtió en un avance de 70% durante el siguiente mes.</w:t>
      </w:r>
    </w:p>
    <w:p>
      <w:r>
        <w:rPr>
          <w:sz w:val="24"/>
          <w:szCs w:val="24"/>
          <w:rFonts w:ascii="Calibri" w:cs="Calibri" w:eastAsia="Calibri" w:hAnsi="Calibri"/>
        </w:rPr>
      </w:r>
    </w:p>
    <w:p>
      <w:r>
        <w:rPr>
          <w:sz w:val="24"/>
          <w:szCs w:val="24"/>
          <w:rFonts w:ascii="Calibri" w:cs="Calibri" w:eastAsia="Calibri" w:hAnsi="Calibri"/>
        </w:rPr>
        <w:t xml:space="preserve">Es decir, un intercambio de retrasos de 1-20%, que fue posible solo porque el riesgo se contaba con un pequeño porcentaje. Christian Kulamagy, el sistema de movimiento de bajos. Kulamagy busca inversiones que han avanzado de 30% a 100% en las 12 semanas anteriores.</w:t>
      </w:r>
    </w:p>
    <w:p>
      <w:r>
        <w:rPr>
          <w:sz w:val="24"/>
          <w:szCs w:val="24"/>
          <w:rFonts w:ascii="Calibri" w:cs="Calibri" w:eastAsia="Calibri" w:hAnsi="Calibri"/>
        </w:rPr>
      </w:r>
    </w:p>
    <w:p>
      <w:r>
        <w:rPr>
          <w:sz w:val="24"/>
          <w:szCs w:val="24"/>
          <w:rFonts w:ascii="Calibri" w:cs="Calibri" w:eastAsia="Calibri" w:hAnsi="Calibri"/>
        </w:rPr>
        <w:t xml:space="preserve">Este filtro identifica líderes de movimiento con patrocinio institucional, eliminando inversiones de movimiento de bajos que no tienen la energía para brechos significativos. El avance debe mostrar características de acumulación genuina, un volumen más alto en las actualizaciones, un volumen más bajo en los retrasos y un precio que permanece por encima de los niveles de movimiento clave durante el avance. La análisis de la consolidación.</w:t>
      </w:r>
    </w:p>
    <w:p>
      <w:r>
        <w:rPr>
          <w:sz w:val="24"/>
          <w:szCs w:val="24"/>
          <w:rFonts w:ascii="Calibri" w:cs="Calibri" w:eastAsia="Calibri" w:hAnsi="Calibri"/>
        </w:rPr>
      </w:r>
    </w:p>
    <w:p>
      <w:r>
        <w:rPr>
          <w:sz w:val="24"/>
          <w:szCs w:val="24"/>
          <w:rFonts w:ascii="Calibri" w:cs="Calibri" w:eastAsia="Calibri" w:hAnsi="Calibri"/>
        </w:rPr>
        <w:t xml:space="preserve">Siguiendo el avance inicial, Kulamagy espera un retraso ordenado y una consolidación con bajos más altos y un rango acelerado. Durante esta consolidación, el precio debe respetar los niveles de movimiento de 10 y 20 días, con el nivel de movimiento de 50 días ofreciendo el último apoyo en retrasos más profundos. El patrón de consolidación puede tomar varias formas, bandas, pendientes o rangos aislados.</w:t>
      </w:r>
    </w:p>
    <w:p>
      <w:r>
        <w:rPr>
          <w:sz w:val="24"/>
          <w:szCs w:val="24"/>
          <w:rFonts w:ascii="Calibri" w:cs="Calibri" w:eastAsia="Calibri" w:hAnsi="Calibri"/>
        </w:rPr>
      </w:r>
    </w:p>
    <w:p>
      <w:r>
        <w:rPr>
          <w:sz w:val="24"/>
          <w:szCs w:val="24"/>
          <w:rFonts w:ascii="Calibri" w:cs="Calibri" w:eastAsia="Calibri" w:hAnsi="Calibri"/>
        </w:rPr>
        <w:t xml:space="preserve">El elemento crítico es la contracción de volumen durante la consolidación, indicando equilibrio entre los compradores y los vendedores antes del siguiente nivel más alto. La ejecución de entrada de retraso. Kulamagy entra cuando el precio se rompe de su patrón de consolidación.</w:t>
      </w:r>
    </w:p>
    <w:p>
      <w:r>
        <w:rPr>
          <w:sz w:val="24"/>
          <w:szCs w:val="24"/>
          <w:rFonts w:ascii="Calibri" w:cs="Calibri" w:eastAsia="Calibri" w:hAnsi="Calibri"/>
        </w:rPr>
      </w:r>
    </w:p>
    <w:p>
      <w:r>
        <w:rPr>
          <w:sz w:val="24"/>
          <w:szCs w:val="24"/>
          <w:rFonts w:ascii="Calibri" w:cs="Calibri" w:eastAsia="Calibri" w:hAnsi="Calibri"/>
        </w:rPr>
        <w:t xml:space="preserve">El retraso es determinado por la línea de tendencia conectando los altos del patrón de consolidación. Alternativamente, si el retraso sucede en el abierto, entra en el retraso de los altos del rango abierto, los altos de los primeros 1 minuto, los 5 minutos o el candado de 60 minutos. Usa el bajo del día de retraso como el retraso.</w:t>
      </w:r>
    </w:p>
    <w:p>
      <w:r>
        <w:rPr>
          <w:sz w:val="24"/>
          <w:szCs w:val="24"/>
          <w:rFonts w:ascii="Calibri" w:cs="Calibri" w:eastAsia="Calibri" w:hAnsi="Calibri"/>
        </w:rPr>
      </w:r>
    </w:p>
    <w:p>
      <w:r>
        <w:rPr>
          <w:sz w:val="24"/>
          <w:szCs w:val="24"/>
          <w:rFonts w:ascii="Calibri" w:cs="Calibri" w:eastAsia="Calibri" w:hAnsi="Calibri"/>
        </w:rPr>
        <w:t xml:space="preserve">Esta técnica ofrece 2-3% de riesgo, permitiendo tamaños de posición más grandes mientras mantiene el mismo riesgo de dólar. Un retraso así que sucedió en Western Digital WDC en diciembre de 2025 ejemplifica esta aproximación. Tras el avance inicial de WDC de $30 a $175, el precio se consolidó en un patrón de tendencia durante 3 semanas.</w:t>
      </w:r>
    </w:p>
    <w:p>
      <w:r>
        <w:rPr>
          <w:sz w:val="24"/>
          <w:szCs w:val="24"/>
          <w:rFonts w:ascii="Calibri" w:cs="Calibri" w:eastAsia="Calibri" w:hAnsi="Calibri"/>
        </w:rPr>
      </w:r>
    </w:p>
    <w:p>
      <w:r>
        <w:rPr>
          <w:sz w:val="24"/>
          <w:szCs w:val="24"/>
          <w:rFonts w:ascii="Calibri" w:cs="Calibri" w:eastAsia="Calibri" w:hAnsi="Calibri"/>
        </w:rPr>
        <w:t xml:space="preserve">Primero, el precio bajó desde el 50-día EMA, luego tomando apoyo en el 20-día EMA y formando un bajo más alto. El retraso sucedió aquí, en el cruce de la línea de tendencia, en $165, con una pérdida de paro en el bajo del día de retraso en $162, un 2% de riesgo. El precio luego subió 70% en 2 meses desde el punto de retraso, un intercambio de 1-35 de riesgo-recompensa.</w:t>
      </w:r>
    </w:p>
    <w:p>
      <w:r>
        <w:rPr>
          <w:sz w:val="24"/>
          <w:szCs w:val="24"/>
          <w:rFonts w:ascii="Calibri" w:cs="Calibri" w:eastAsia="Calibri" w:hAnsi="Calibri"/>
        </w:rPr>
      </w:r>
    </w:p>
    <w:p>
      <w:r>
        <w:rPr>
          <w:sz w:val="24"/>
          <w:szCs w:val="24"/>
          <w:rFonts w:ascii="Calibri" w:cs="Calibri" w:eastAsia="Calibri" w:hAnsi="Calibri"/>
        </w:rPr>
        <w:t xml:space="preserve">LA MATEMÁTICA DE RIESGO-RECOMPENSA El sistema de Kulamagi genera 5 a 20 veces el riesgo inicial de ganar negocios con una ganancia de 20-25%. Esto crea un margen suficiente de errores. Incluso con paradas perdidas extensas, la frontera matemática asegura la profitabilidad con el tiempo.</w:t>
      </w:r>
    </w:p>
    <w:p>
      <w:r>
        <w:rPr>
          <w:sz w:val="24"/>
          <w:szCs w:val="24"/>
          <w:rFonts w:ascii="Calibri" w:cs="Calibri" w:eastAsia="Calibri" w:hAnsi="Calibri"/>
        </w:rPr>
      </w:r>
    </w:p>
    <w:p>
      <w:r>
        <w:rPr>
          <w:sz w:val="24"/>
          <w:szCs w:val="24"/>
          <w:rFonts w:ascii="Calibri" w:cs="Calibri" w:eastAsia="Calibri" w:hAnsi="Calibri"/>
        </w:rPr>
        <w:t xml:space="preserve">Su tamaño de posición de 10-20% por negocio combinado con el riesgo de 0.3-0.5% por posición crea el crecimiento geométrico necesario para sus retos extraordinarios mientras se protege de desventajas catastróficas. NICOLAS DAVAS EL SISTEMA DE RIESGO Nicolás Davas desarrolló su legendario sistema de bocas a través de una análisis pura de gráficos, creando una aproximación mecánica que capturó movimientos explosivos mientras limitaba el riesgo. Su metodología centra en negocios que crean nuevos altos de 52 semanas antes de crear bocas de consolidación.</w:t>
      </w:r>
    </w:p>
    <w:p>
      <w:r>
        <w:rPr>
          <w:sz w:val="24"/>
          <w:szCs w:val="24"/>
          <w:rFonts w:ascii="Calibri" w:cs="Calibri" w:eastAsia="Calibri" w:hAnsi="Calibri"/>
        </w:rPr>
      </w:r>
    </w:p>
    <w:p>
      <w:r>
        <w:rPr>
          <w:sz w:val="24"/>
          <w:szCs w:val="24"/>
          <w:rFonts w:ascii="Calibri" w:cs="Calibri" w:eastAsia="Calibri" w:hAnsi="Calibri"/>
        </w:rPr>
        <w:t xml:space="preserve">LA FUNDACIÓN DE LOS ALTOS DE 52 SEMANAS La Fundación de los Altos de 52 Semanas Davas solo consideró los negocios que recientemente crearon nuevos altos de 52 semanas. Siguiendo los altos de 52 semanas, Davas esperaba que los negocios establecieran un rango de comercio claro con niveles de apoyo y resistencia definidos. La boca se formó a través de múltiples toques de la resistencia superior, cerca o abajo de los altos de 52 semanas y niveles de apoyo más bajos.</w:t>
      </w:r>
    </w:p>
    <w:p>
      <w:r>
        <w:rPr>
          <w:sz w:val="24"/>
          <w:szCs w:val="24"/>
          <w:rFonts w:ascii="Calibri" w:cs="Calibri" w:eastAsia="Calibri" w:hAnsi="Calibri"/>
        </w:rPr>
      </w:r>
    </w:p>
    <w:p>
      <w:r>
        <w:rPr>
          <w:sz w:val="24"/>
          <w:szCs w:val="24"/>
          <w:rFonts w:ascii="Calibri" w:cs="Calibri" w:eastAsia="Calibri" w:hAnsi="Calibri"/>
        </w:rPr>
        <w:t xml:space="preserve">La más larga la formación de la boca y la mayor cantidad de veces el precio toque estos niveles, la más significativa se convierte en el desborde eventual. Davas en particular valoró las bocas durando semanas o meses, creando fuentes más fuertes para los movimientos explosivos. LA TÉCNICA DE ENTRADA DEL DESBORDE Davas colocaba las ordenes de comercio cerca o abajo de los niveles de resistencia de las bocas, permitiendo la ejecución automática cuando el desborde ocurre.</w:t>
      </w:r>
    </w:p>
    <w:p>
      <w:r>
        <w:rPr>
          <w:sz w:val="24"/>
          <w:szCs w:val="24"/>
          <w:rFonts w:ascii="Calibri" w:cs="Calibri" w:eastAsia="Calibri" w:hAnsi="Calibri"/>
        </w:rPr>
      </w:r>
    </w:p>
    <w:p>
      <w:r>
        <w:rPr>
          <w:sz w:val="24"/>
          <w:szCs w:val="24"/>
          <w:rFonts w:ascii="Calibri" w:cs="Calibri" w:eastAsia="Calibri" w:hAnsi="Calibri"/>
        </w:rPr>
        <w:t xml:space="preserve">Este método mecánico eliminó la emoción del proceso de entrada mientras aseguraba que capturó el momentum desde la incepción del desborde. Simultáneamente, colocó las ordenes de desborde dentro de la boca, típicamente 5-8% abajo de su precio de entrada. Este manejo de riesgo predeterminado creó lo que él llamó los buenos riesgos, limitando el desborde mientras permitía el potencial de desborde ilimitado.</w:t>
      </w:r>
    </w:p>
    <w:p>
      <w:r>
        <w:rPr>
          <w:sz w:val="24"/>
          <w:szCs w:val="24"/>
          <w:rFonts w:ascii="Calibri" w:cs="Calibri" w:eastAsia="Calibri" w:hAnsi="Calibri"/>
        </w:rPr>
      </w:r>
    </w:p>
    <w:p>
      <w:r>
        <w:rPr>
          <w:sz w:val="24"/>
          <w:szCs w:val="24"/>
          <w:rFonts w:ascii="Calibri" w:cs="Calibri" w:eastAsia="Calibri" w:hAnsi="Calibri"/>
        </w:rPr>
        <w:t xml:space="preserve">EL ELEMENTO DE CONFIRMACIÓN DEL VOLUMEN Lo que es crítico al sistema de Davas es la expansión del volumen acompañando el desborde. Sin un aumento significativo del volumen, los desbordes a menudo fallan porque no tienen participación institucional. Este ejemplo de comercio del minero de oro Anglo Gold, AU, de 2025 exemplifica esto perfectamente.</w:t>
      </w:r>
    </w:p>
    <w:p>
      <w:r>
        <w:rPr>
          <w:sz w:val="24"/>
          <w:szCs w:val="24"/>
          <w:rFonts w:ascii="Calibri" w:cs="Calibri" w:eastAsia="Calibri" w:hAnsi="Calibri"/>
        </w:rPr>
      </w:r>
    </w:p>
    <w:p>
      <w:r>
        <w:rPr>
          <w:sz w:val="24"/>
          <w:szCs w:val="24"/>
          <w:rFonts w:ascii="Calibri" w:cs="Calibri" w:eastAsia="Calibri" w:hAnsi="Calibri"/>
        </w:rPr>
        <w:t xml:space="preserve">Después de que la boca formó una caja alrededor de $45 durante 7 semanas, el desborde por encima de $45.50 en volumen aumentado podría haber afectado la entrada. A pesar de un desborde inicial, el precio no rompió el desborde que podría haber puesto en la sección central de la caja cerca de $42 un riesgo de 6%. El mercado avanzó 150% en 34 semanas, de riesgo de 1 a 25%.</w:t>
      </w:r>
    </w:p>
    <w:p>
      <w:r>
        <w:rPr>
          <w:sz w:val="24"/>
          <w:szCs w:val="24"/>
          <w:rFonts w:ascii="Calibri" w:cs="Calibri" w:eastAsia="Calibri" w:hAnsi="Calibri"/>
        </w:rPr>
      </w:r>
    </w:p>
    <w:p>
      <w:r>
        <w:rPr>
          <w:sz w:val="24"/>
          <w:szCs w:val="24"/>
          <w:rFonts w:ascii="Calibri" w:cs="Calibri" w:eastAsia="Calibri" w:hAnsi="Calibri"/>
        </w:rPr>
        <w:t xml:space="preserve">LA ESTRATEGIA DE PIRAMIDA Davas emplea la piramide, añadiendo posiciones ganadoras mientras forman nuevas cajas a niveles más altos. Cuando un mercado se rompe con éxito y luego forma otro patrón de cajas, añade adicional capital, aumentando sus positivos de acuerdo. Esta técnica maximiza los beneficios de sus principales ganadores mientras mantiene el manejamiento a través de niveles aumentados.</w:t>
      </w:r>
    </w:p>
    <w:p>
      <w:r>
        <w:rPr>
          <w:sz w:val="24"/>
          <w:szCs w:val="24"/>
          <w:rFonts w:ascii="Calibri" w:cs="Calibri" w:eastAsia="Calibri" w:hAnsi="Calibri"/>
        </w:rPr>
      </w:r>
    </w:p>
    <w:p>
      <w:r>
        <w:rPr>
          <w:sz w:val="24"/>
          <w:szCs w:val="24"/>
          <w:rFonts w:ascii="Calibri" w:cs="Calibri" w:eastAsia="Calibri" w:hAnsi="Calibri"/>
        </w:rPr>
        <w:t xml:space="preserve">En mi propio comercio, sigo una aproximación similar a la de Davas. Busco consolidaciones laterales en los gráficos semanales y empujo el botón cuando el mercado se cierra por encima de la resistencia en una base semanal. La parada está generalmente ubicada en la mitad de la consolidación, limitando el riesgo a menos de 8% en la mayoría de los casos.</w:t>
      </w:r>
    </w:p>
    <w:p>
      <w:r>
        <w:rPr>
          <w:sz w:val="24"/>
          <w:szCs w:val="24"/>
          <w:rFonts w:ascii="Calibri" w:cs="Calibri" w:eastAsia="Calibri" w:hAnsi="Calibri"/>
        </w:rPr>
      </w:r>
    </w:p>
    <w:p>
      <w:r>
        <w:rPr>
          <w:sz w:val="24"/>
          <w:szCs w:val="24"/>
          <w:rFonts w:ascii="Calibri" w:cs="Calibri" w:eastAsia="Calibri" w:hAnsi="Calibri"/>
        </w:rPr>
        <w:t xml:space="preserve">Para hacer el escaneamiento y la captura de comercios extremadamente suave y pasivo, he construido un escáner que hace la mayoría del levantamiento pesado. Sólo tengo que revisar los comercios durante el fin de semana y enviarlos a ejecución. Para saber más sobre la estrategia y el proceso, descarga el libro gratis y síguenos en nuestro grupo usando los enlaces de abajo para tener acceso inmediato al escáner.</w:t>
      </w:r>
    </w:p>
    <w:p>
      <w:r>
        <w:rPr>
          <w:sz w:val="24"/>
          <w:szCs w:val="24"/>
          <w:rFonts w:ascii="Calibri" w:cs="Calibri" w:eastAsia="Calibri" w:hAnsi="Calibri"/>
        </w:rPr>
      </w:r>
    </w:p>
    <w:p>
      <w:r>
        <w:rPr>
          <w:sz w:val="24"/>
          <w:szCs w:val="24"/>
          <w:rFonts w:ascii="Calibri" w:cs="Calibri" w:eastAsia="Calibri" w:hAnsi="Calibri"/>
        </w:rPr>
        <w:t xml:space="preserve">William O'Neill, la maestría de la copa y el manejo. La metodología de O'Neill, refinada a través del análisis de miles de comercios ganadores durante décadas, se centra en el patrón de la copa y el manejo como la oportunidad de ingresos optimales, bajos riesgos y altos recompensos. O'Neill requiere un avance mínimo del 30% antes de cualquier formación de la copa, asegurando que el mercado ya ha demostrado una acumulación institucional.</w:t>
      </w:r>
    </w:p>
    <w:p>
      <w:r>
        <w:rPr>
          <w:sz w:val="24"/>
          <w:szCs w:val="24"/>
          <w:rFonts w:ascii="Calibri" w:cs="Calibri" w:eastAsia="Calibri" w:hAnsi="Calibri"/>
        </w:rPr>
      </w:r>
    </w:p>
    <w:p>
      <w:r>
        <w:rPr>
          <w:sz w:val="24"/>
          <w:szCs w:val="24"/>
          <w:rFonts w:ascii="Calibri" w:cs="Calibri" w:eastAsia="Calibri" w:hAnsi="Calibri"/>
        </w:rPr>
        <w:t xml:space="preserve">La formación de la copa debería durar 7 a 65 semanas, con una profundidad de 12 a 33% de la alta anterior. Correcciones más profundas a menudo indican problemas fundamentales, mientras que correcciones más suaves pueden faltar la construcción de la base necesaria para avances significativos. La técnica de precisión del manejo.</w:t>
      </w:r>
    </w:p>
    <w:p>
      <w:r>
        <w:rPr>
          <w:sz w:val="24"/>
          <w:szCs w:val="24"/>
          <w:rFonts w:ascii="Calibri" w:cs="Calibri" w:eastAsia="Calibri" w:hAnsi="Calibri"/>
        </w:rPr>
      </w:r>
    </w:p>
    <w:p>
      <w:r>
        <w:rPr>
          <w:sz w:val="24"/>
          <w:szCs w:val="24"/>
          <w:rFonts w:ascii="Calibri" w:cs="Calibri" w:eastAsia="Calibri" w:hAnsi="Calibri"/>
        </w:rPr>
        <w:t xml:space="preserve">El manejo ofrece la oportunidad de ingresos precisas de O'Neill. Esta consolidación debería durar 1 a 5 semanas, formando en la parte superior de la copa con contracción de volumen indicando una reducción de la presión de la venta. El ingreso de O'Neill ocurre cuando el precio cae sobre el punto más alto del manejo, el punto de pivot, en un volumen de al menos un 50% sobre el medio.</w:t>
      </w:r>
    </w:p>
    <w:p>
      <w:r>
        <w:rPr>
          <w:sz w:val="24"/>
          <w:szCs w:val="24"/>
          <w:rFonts w:ascii="Calibri" w:cs="Calibri" w:eastAsia="Calibri" w:hAnsi="Calibri"/>
        </w:rPr>
      </w:r>
    </w:p>
    <w:p>
      <w:r>
        <w:rPr>
          <w:sz w:val="24"/>
          <w:szCs w:val="24"/>
          <w:rFonts w:ascii="Calibri" w:cs="Calibri" w:eastAsia="Calibri" w:hAnsi="Calibri"/>
        </w:rPr>
        <w:t xml:space="preserve">Esta combinación de precio y expansión de volumen indica una reducción de la acumulación La optimización de la recompensa de riesgo. La estructura de manejo de O'Neill típicamente permite intercambios de 4 a 8% debajo de la entrada, creando los parámetros de riesgo necesarios para el tamaño de la posición. Su análisis de los intercambios de la copa mostró ganancias de 20 a 50 veces el riesgo inicial sobre los mayores ganadores.</w:t>
      </w:r>
    </w:p>
    <w:p>
      <w:r>
        <w:rPr>
          <w:sz w:val="24"/>
          <w:szCs w:val="24"/>
          <w:rFonts w:ascii="Calibri" w:cs="Calibri" w:eastAsia="Calibri" w:hAnsi="Calibri"/>
        </w:rPr>
      </w:r>
    </w:p>
    <w:p>
      <w:r>
        <w:rPr>
          <w:sz w:val="24"/>
          <w:szCs w:val="24"/>
          <w:rFonts w:ascii="Calibri" w:cs="Calibri" w:eastAsia="Calibri" w:hAnsi="Calibri"/>
        </w:rPr>
        <w:t xml:space="preserve">Este ejemplo de Sandisk o SNDK de 2025 ilustra esto perfectamente. El mercado formó una copa y un manejo durante 7 semanas, con el manejo proporcionando un ingreso de cerca de $262. La reducción en el volumen alto y el movimiento de seguimiento en volúmenes aún más altos llevaron a un retorno de 170% en más de un mes, demostrando el potencial extraordinario cuando todos los elementos se alinean.</w:t>
      </w:r>
    </w:p>
    <w:p>
      <w:r>
        <w:rPr>
          <w:sz w:val="24"/>
          <w:szCs w:val="24"/>
          <w:rFonts w:ascii="Calibri" w:cs="Calibri" w:eastAsia="Calibri" w:hAnsi="Calibri"/>
        </w:rPr>
      </w:r>
    </w:p>
    <w:p>
      <w:r>
        <w:rPr>
          <w:sz w:val="24"/>
          <w:szCs w:val="24"/>
          <w:rFonts w:ascii="Calibri" w:cs="Calibri" w:eastAsia="Calibri" w:hAnsi="Calibri"/>
        </w:rPr>
        <w:t xml:space="preserve">Para los ganadores aspirantes, las metodologías de los ganadores legendarios proporcionan frameworks aprobados para el éxito del mercado y la generación de riqueza. Estudien sus técnicas, comprendan sus principios, pero, lo más importante, desarrollen la disciplina para ejecutar sistemáticamente, sin importar las condiciones de mercado o el estado emocional. Yo, personalmente, lo he hecho con éxito consistente, y ustedes también pueden hacerlo.</w:t>
      </w:r>
    </w:p>
    <w:p>
      <w:r>
        <w:rPr>
          <w:sz w:val="24"/>
          <w:szCs w:val="24"/>
          <w:rFonts w:ascii="Calibri" w:cs="Calibri" w:eastAsia="Calibri" w:hAnsi="Calibri"/>
        </w:rPr>
      </w:r>
    </w:p>
    <w:p>
      <w:r>
        <w:rPr>
          <w:sz w:val="24"/>
          <w:szCs w:val="24"/>
          <w:rFonts w:ascii="Calibri" w:cs="Calibri" w:eastAsia="Calibri" w:hAnsi="Calibri"/>
        </w:rPr>
        <w:t xml:space="preserve">No olviden ver los enlaces de abajo, suscribirse y, como siempre, gracias por ver.</w:t>
      </w:r>
    </w:p>
    <w:p>
      <w:r>
        <w:t xml:space="preserve">
</w:t>
      </w:r>
      <w:r>
        <w:rPr>
          <w:b/>
          <w:bCs/>
          <w:sz w:val="24"/>
          <w:szCs w:val="24"/>
          <w:rFonts w:ascii="Calibri" w:cs="Calibri" w:eastAsia="Calibri" w:hAnsi="Calibri"/>
        </w:rPr>
        <w:t xml:space="preserve">Transcrito por </w:t>
      </w:r>
      <w:hyperlink w:history="1" r:id="rIdf1-vt7ci0nso5j4ja3lds">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i19t1w71q0w3kqbh0ilin">
        <w:r>
          <w:rPr>
            <w:b/>
            <w:bCs/>
            <w:sz w:val="24"/>
            <w:szCs w:val="24"/>
            <w:rStyle w:val="Hyperlink"/>
            <w:rFonts w:ascii="Calibri" w:cs="Calibri" w:eastAsia="Calibri" w:hAnsi="Calibri"/>
          </w:rPr>
          <w:t xml:space="preserve">Actualizar a Ilimitado</w:t>
        </w:r>
      </w:hyperlink>
      <w:r>
        <w:rPr>
          <w:b/>
          <w:bCs/>
          <w:sz w:val="24"/>
          <w:szCs w:val="24"/>
          <w:rFonts w:ascii="Calibri" w:cs="Calibri" w:eastAsia="Calibri" w:hAnsi="Calibri"/>
        </w:rPr>
        <w:t xml:space="preserve"> para eliminar este mensaje.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nvihj7ilnoa3fzh21mcnf" Type="http://schemas.openxmlformats.org/officeDocument/2006/relationships/hyperlink" Target="https://turboscribe.ai/es/?ref=docx_export_upsell" TargetMode="External"/><Relationship Id="rId-9mcgnxpnfagj95kjia4z" Type="http://schemas.openxmlformats.org/officeDocument/2006/relationships/hyperlink" Target="https://turboscribe.ai/es/subscribed?ref=docx_export_upsell" TargetMode="External"/><Relationship Id="rIdf1-vt7ci0nso5j4ja3lds" Type="http://schemas.openxmlformats.org/officeDocument/2006/relationships/hyperlink" Target="https://turboscribe.ai/es/?ref=docx_export_upsell" TargetMode="External"/><Relationship Id="rIdi19t1w71q0w3kqbh0ilin" Type="http://schemas.openxmlformats.org/officeDocument/2006/relationships/hyperlink" Target="https://turboscribe.ai/es/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Legendary Traders Enter Breakouts (Minervini, Kullamagi, Darvas, O’Neil)</dc:title>
  <dc:creator>TurboScribe</dc:creator>
  <cp:lastModifiedBy>Un-named</cp:lastModifiedBy>
  <cp:revision>1</cp:revision>
  <dcterms:created xsi:type="dcterms:W3CDTF">2026-03-20T12:47:33.304Z</dcterms:created>
  <dcterms:modified xsi:type="dcterms:W3CDTF">2026-03-20T12:47:33.304Z</dcterms:modified>
</cp:coreProperties>
</file>

<file path=docProps/custom.xml><?xml version="1.0" encoding="utf-8"?>
<Properties xmlns="http://schemas.openxmlformats.org/officeDocument/2006/custom-properties" xmlns:vt="http://schemas.openxmlformats.org/officeDocument/2006/docPropsVTypes"/>
</file>