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bidi w:val="0"/>
        <w:spacing w:before="240" w:after="120"/>
        <w:ind w:left="0" w:hanging="0"/>
        <w:rPr/>
      </w:pPr>
      <w:r>
        <w:rPr/>
        <w:t>Enfoques de la IA, usos practicos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>Enfoque Bio Inspirado.</w:t>
      </w:r>
    </w:p>
    <w:p>
      <w:pPr>
        <w:pStyle w:val="Cuerpodetexto"/>
        <w:bidi w:val="0"/>
        <w:jc w:val="left"/>
        <w:rPr/>
      </w:pPr>
      <w:r>
        <w:rPr/>
        <w:t>El algoritmo BAINLP-DCD (</w:t>
      </w:r>
      <w:r>
        <w:rPr>
          <w:rStyle w:val="Destacado"/>
        </w:rPr>
        <w:t>Bio-inspired Artificial Intelligence with Natural Language Processing Deceptive Content Detection</w:t>
      </w:r>
      <w:r>
        <w:rPr/>
        <w:t xml:space="preserve">) </w:t>
      </w:r>
      <w:r>
        <w:rPr/>
        <w:t xml:space="preserve">diseñado para detectar contenido engañoso o falso en las redes sociales. </w:t>
      </w:r>
      <w:r>
        <w:rPr/>
        <w:fldChar w:fldCharType="begin"/>
      </w:r>
      <w:r>
        <w:rPr/>
        <w:instrText xml:space="preserve"> CITATION  "biomimetics8060449"</w:instrText>
      </w:r>
      <w:r>
        <w:rPr/>
        <w:fldChar w:fldCharType="separate"/>
      </w:r>
      <w:r>
        <w:rPr/>
        <w:t>Bio-Inspired Artificial Intelligence with Natural Language Processing Based on Deceptive Content Detection in Social Networking</w:t>
      </w:r>
      <w:r>
        <w:rPr/>
        <w:fldChar w:fldCharType="end"/>
      </w:r>
    </w:p>
    <w:p>
      <w:pPr>
        <w:pStyle w:val="Cuerpodetexto"/>
        <w:bidi w:val="0"/>
        <w:jc w:val="left"/>
        <w:rPr/>
      </w:pPr>
      <w:r>
        <w:rPr/>
        <w:t>En este articulo se detalla como se usó una red neuronal recurrente bidireccional para capturar dependencias a largo plazo en textos y la combina junto con otra técnica llamada atención Multi-Cabezal que permite identificar palabras claves y crear relaciones contextuales criticas para detectar engaños.</w:t>
      </w:r>
    </w:p>
    <w:p>
      <w:pPr>
        <w:pStyle w:val="Cuerpodetexto"/>
        <w:bidi w:val="0"/>
        <w:jc w:val="left"/>
        <w:rPr/>
      </w:pPr>
      <w:r>
        <w:rPr/>
        <w:t>El algoritmo AVOA (African Vulture Optimization Algorithm) es un algoritmo que replica el comportamiento de búsqueda de alimento de los buitres africanos que alternan entre explorar áreas nuevas y explotar zonas prometedoras ya conocidas.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Inicialización</w:t>
      </w:r>
      <w:r>
        <w:rPr/>
        <w:t>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Se crea una población de "buitres" (soluciones candidatas).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Cada buitre representa un conjunto de hiperparámetros del modelo MHS-BiLSTM (ejemplo: tasa de aprendizaje, número de neuronas).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Destaquemayor"/>
        </w:rPr>
        <w:t>Selección de líderes</w:t>
      </w:r>
      <w:r>
        <w:rPr/>
        <w:t>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Los dos mejores buitres (soluciones con menor error de clasificación) se eligen como líderes (</w:t>
      </w:r>
      <w:r>
        <w:rPr>
          <w:rStyle w:val="Destaquemayor"/>
        </w:rPr>
        <w:t>BestVulture₁</w:t>
      </w:r>
      <w:r>
        <w:rPr/>
        <w:t xml:space="preserve"> y </w:t>
      </w:r>
      <w:r>
        <w:rPr>
          <w:rStyle w:val="Destaquemayor"/>
        </w:rPr>
        <w:t>BestVulture₂</w:t>
      </w:r>
      <w:r>
        <w:rPr/>
        <w:t>).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La población se divide en dos grupos siguiendo a estos líderes, usando un mecanismo de ruleta.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Destaquemayor"/>
        </w:rPr>
        <w:t>Tasa de hambruna (F)</w:t>
      </w:r>
      <w:r>
        <w:rPr/>
        <w:t>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Destaquemayor"/>
        </w:rPr>
        <w:t>F</w:t>
      </w:r>
      <w:r>
        <w:rPr/>
        <w:t xml:space="preserve">  determina si los buitres están "hambrientos" (F &lt; 1) o "satisfechos" (F ≥ 1).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Destaquemayor"/>
        </w:rPr>
        <w:t>Hambrientos</w:t>
      </w:r>
      <w:r>
        <w:rPr/>
        <w:t xml:space="preserve">: Se enfocan en </w:t>
      </w:r>
      <w:r>
        <w:rPr>
          <w:rStyle w:val="Destaquemayor"/>
        </w:rPr>
        <w:t>explotar</w:t>
      </w:r>
      <w:r>
        <w:rPr/>
        <w:t xml:space="preserve"> áreas cercanas a los líderes.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Destaquemayor"/>
        </w:rPr>
        <w:t>Satisfechos</w:t>
      </w:r>
      <w:r>
        <w:rPr/>
        <w:t xml:space="preserve">: Realizan </w:t>
      </w:r>
      <w:r>
        <w:rPr>
          <w:rStyle w:val="Destaquemayor"/>
        </w:rPr>
        <w:t>exploración</w:t>
      </w:r>
      <w:r>
        <w:rPr/>
        <w:t xml:space="preserve"> en nuevas zonas.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Destaquemayor"/>
        </w:rPr>
        <w:t>Fase de exploración</w:t>
      </w:r>
      <w:r>
        <w:rPr/>
        <w:t>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Destaquemayor"/>
        </w:rPr>
        <w:t>Estrategia 1:</w:t>
      </w:r>
      <w:r>
        <w:rPr/>
        <w:t xml:space="preserve"> Movimiento hacia el líder del grupo, con ajustes basados en la distancia (</w:t>
      </w:r>
      <w:r>
        <w:rPr>
          <w:rStyle w:val="Destaquemayor"/>
        </w:rPr>
        <w:t>D(i)</w:t>
      </w:r>
      <w:r>
        <w:rPr/>
        <w:t>).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Destaquemayor"/>
        </w:rPr>
        <w:t xml:space="preserve">Estrategia 2: </w:t>
      </w:r>
      <w:r>
        <w:rPr/>
        <w:t>Exploración aleatoria dentro de los límites del espacio de búsqueda (usando valores aleatorios y rangos predefinidos).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Destaquemayor"/>
        </w:rPr>
        <w:t>Fase de explotación</w:t>
      </w:r>
      <w:r>
        <w:rPr/>
        <w:t>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Destaquemayor"/>
        </w:rPr>
        <w:t>Asedio</w:t>
      </w:r>
      <w:r>
        <w:rPr/>
        <w:t>: Los buitres débiles rodean a los líderes para agotarlos y acceder a su comida.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Destaquemayor"/>
        </w:rPr>
        <w:t>Vuelo en espiral</w:t>
      </w:r>
      <w:r>
        <w:rPr/>
        <w:t>: Movimientos circulares para localizar recursos cercanos.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Destaquemayor"/>
        </w:rPr>
        <w:t>Levy Flight</w:t>
      </w:r>
      <w:r>
        <w:rPr/>
        <w:t>: Movimientos largos y aleatorios para escapar de óptimos locales.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Destaquemayor"/>
        </w:rPr>
        <w:t>Actualización de posiciones</w:t>
      </w:r>
      <w:r>
        <w:rPr/>
        <w:t>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Las soluciones se actualizan iterativamente hasta alcanzar un criterio de parada (ejemplo: número máximo de iteraciones).</w:t>
      </w:r>
    </w:p>
    <w:p>
      <w:pPr>
        <w:pStyle w:val="Cuerpodetexto"/>
        <w:bidi w:val="0"/>
        <w:jc w:val="left"/>
        <w:rPr/>
      </w:pPr>
      <w:r>
        <w:rPr/>
        <w:t>Principales beneficios: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>
          <w:rStyle w:val="Destaquemayor"/>
          <w:b w:val="false"/>
          <w:bCs w:val="false"/>
        </w:rPr>
        <w:t>Automatización del ajuste de hiperparámetros.</w:t>
      </w:r>
    </w:p>
    <w:p>
      <w:pPr>
        <w:pStyle w:val="Cuerpodetexto"/>
        <w:numPr>
          <w:ilvl w:val="0"/>
          <w:numId w:val="5"/>
        </w:numPr>
        <w:rPr/>
      </w:pPr>
      <w:r>
        <w:rPr>
          <w:rStyle w:val="Destaquemayor"/>
          <w:b w:val="false"/>
          <w:bCs w:val="false"/>
        </w:rPr>
        <w:t>Balance exploración-explotación.</w:t>
      </w:r>
    </w:p>
    <w:p>
      <w:pPr>
        <w:pStyle w:val="Cuerpodetexto"/>
        <w:numPr>
          <w:ilvl w:val="0"/>
          <w:numId w:val="5"/>
        </w:numPr>
        <w:rPr/>
      </w:pPr>
      <w:r>
        <w:rPr>
          <w:rStyle w:val="Destaquemayor"/>
          <w:b w:val="false"/>
          <w:bCs w:val="false"/>
        </w:rPr>
        <w:t>Resultados superiores.</w:t>
      </w:r>
    </w:p>
    <w:p>
      <w:pPr>
        <w:pStyle w:val="Cuerpodetexto"/>
        <w:rPr/>
      </w:pPr>
      <w:r>
        <w:rPr>
          <w:rStyle w:val="Destaquemayor"/>
          <w:b w:val="false"/>
          <w:bCs w:val="false"/>
        </w:rPr>
        <w:t>Limitaciones:</w:t>
      </w:r>
    </w:p>
    <w:p>
      <w:pPr>
        <w:pStyle w:val="Cuerpodetexto"/>
        <w:numPr>
          <w:ilvl w:val="0"/>
          <w:numId w:val="6"/>
        </w:numPr>
        <w:rPr/>
      </w:pPr>
      <w:r>
        <w:rPr>
          <w:rStyle w:val="Destaquemayor"/>
          <w:b w:val="false"/>
          <w:bCs w:val="false"/>
        </w:rPr>
        <w:t>Costo computacional.</w:t>
      </w:r>
    </w:p>
    <w:p>
      <w:pPr>
        <w:pStyle w:val="Cuerpodetexto"/>
        <w:numPr>
          <w:ilvl w:val="0"/>
          <w:numId w:val="6"/>
        </w:numPr>
        <w:rPr/>
      </w:pPr>
      <w:r>
        <w:rPr>
          <w:rStyle w:val="Destaquemayor"/>
          <w:b w:val="false"/>
          <w:bCs w:val="false"/>
        </w:rPr>
        <w:t>Sensibilidad a parámetros internos.</w:t>
      </w:r>
    </w:p>
    <w:p>
      <w:pPr>
        <w:pStyle w:val="Cuerpodetexto"/>
        <w:numPr>
          <w:ilvl w:val="0"/>
          <w:numId w:val="6"/>
        </w:numPr>
        <w:rPr/>
      </w:pPr>
      <w:r>
        <w:rPr>
          <w:rStyle w:val="Destaquemayor"/>
          <w:b w:val="false"/>
          <w:bCs w:val="false"/>
        </w:rPr>
        <w:t>Escalabilidad.</w:t>
      </w:r>
    </w:p>
    <w:p>
      <w:pPr>
        <w:pStyle w:val="Ttulo2"/>
        <w:numPr>
          <w:ilvl w:val="1"/>
          <w:numId w:val="2"/>
        </w:numPr>
        <w:rPr/>
      </w:pPr>
      <w:r>
        <w:rPr/>
        <w:t>Enfoque computacional</w:t>
      </w:r>
    </w:p>
    <w:p>
      <w:pPr>
        <w:pStyle w:val="Cuerpodetexto"/>
        <w:rPr/>
      </w:pPr>
      <w:r>
        <w:rPr/>
        <w:t>Modelado del mecanismo de cloración carbotérmica del dióxido de titanio en sal fundida utilizando el potencial de las redes neuronales profundas.</w:t>
      </w:r>
      <w:r>
        <w:rPr/>
        <w:fldChar w:fldCharType="begin"/>
      </w:r>
      <w:r>
        <w:rPr/>
        <w:instrText xml:space="preserve"> CITATION  "ma18030659"</w:instrText>
      </w:r>
      <w:r>
        <w:rPr/>
        <w:fldChar w:fldCharType="separate"/>
      </w:r>
      <w:r>
        <w:rPr/>
        <w:t>Modeling the Carbothermal Chlorination Mechanism of Titanium Dioxide in Molten Salt Using a Deep Neural Network Potential</w:t>
      </w:r>
      <w:r>
        <w:rPr/>
        <w:fldChar w:fldCharType="end"/>
      </w:r>
    </w:p>
    <w:p>
      <w:pPr>
        <w:pStyle w:val="Cuerpodetexto"/>
        <w:numPr>
          <w:ilvl w:val="0"/>
          <w:numId w:val="3"/>
        </w:numPr>
        <w:rPr/>
      </w:pPr>
      <w:r>
        <w:rPr>
          <w:b/>
          <w:bCs/>
        </w:rPr>
        <w:t>Dinámica Molecular Ab Intio (AIMD):</w:t>
      </w:r>
      <w:r>
        <w:rPr/>
        <w:t xml:space="preserve"> </w:t>
      </w:r>
      <w:r>
        <w:rPr/>
        <w:t>Para simulaciones iniciales basadas en principios cuánticos, permitiendo observar interacciones atómicas y cambios estructurales en escalas de tiempo cortas.</w:t>
      </w:r>
    </w:p>
    <w:p>
      <w:pPr>
        <w:pStyle w:val="Cuerpodetexto"/>
        <w:numPr>
          <w:ilvl w:val="0"/>
          <w:numId w:val="3"/>
        </w:numPr>
        <w:rPr/>
      </w:pPr>
      <w:r>
        <w:rPr>
          <w:rStyle w:val="Destaquemayor"/>
        </w:rPr>
        <w:t>Dinámica Molecular con Potencial de Red Neuronal Profunda (DeePMD)</w:t>
      </w:r>
      <w:r>
        <w:rPr/>
        <w:t xml:space="preserve">: Entrena un potencial de energía mediante aprendizaje profundo con datos de AIMD, lo que permite escalar las simulaciones a sistemas más grandes y tiempos más largos, manteniendo precisión comparable a cálculos </w:t>
      </w:r>
      <w:r>
        <w:rPr>
          <w:rStyle w:val="Destacado"/>
        </w:rPr>
        <w:t>ab initio</w:t>
      </w:r>
      <w:r>
        <w:rPr/>
        <w:t>.</w:t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2"/>
      </w:numPr>
      <w:spacing w:before="240" w:after="120"/>
      <w:jc w:val="center"/>
      <w:outlineLvl w:val="0"/>
    </w:pPr>
    <w:rPr>
      <w:rFonts w:ascii="Arial" w:hAnsi="Arial"/>
      <w:b/>
      <w:bCs/>
      <w:sz w:val="28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2"/>
      </w:numPr>
      <w:spacing w:before="200" w:after="120"/>
      <w:outlineLvl w:val="1"/>
    </w:pPr>
    <w:rPr>
      <w:rFonts w:ascii="Arial" w:hAnsi="Arial"/>
      <w:b/>
      <w:bCs/>
      <w:sz w:val="26"/>
      <w:szCs w:val="32"/>
    </w:rPr>
  </w:style>
  <w:style w:type="character" w:styleId="Destacado">
    <w:name w:val="Emphasis"/>
    <w:qFormat/>
    <w:rPr>
      <w:i/>
      <w:iCs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Arial" w:hAnsi="Aria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numbering" w:styleId="Numeracin123">
    <w:name w:val="Numeración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LibreOffice/7.4.7.2$Linux_X86_64 LibreOffice_project/40$Build-2</Application>
  <AppVersion>15.0000</AppVersion>
  <Pages>2</Pages>
  <Words>439</Words>
  <Characters>2647</Characters>
  <CharactersWithSpaces>3022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2025-03-05T22:12:36Z</dcterms:created>
  <dc:creator/>
  <dc:description/>
  <dc:language>es-MX</dc:language>
  <cp:lastModifiedBy/>
  <dcterms:modified xsi:type="dcterms:W3CDTF">2025-03-06T22:55:22Z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