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79B0" w:rsidRDefault="00D91B08">
      <w:pPr>
        <w:spacing w:before="1400" w:after="120"/>
      </w:pPr>
      <w:r>
        <w:rPr>
          <w:b/>
          <w:bCs/>
          <w:color w:val="0F5257"/>
          <w:spacing w:val="40"/>
        </w:rPr>
        <w:t>UNIVERSIDAD DE PALERMO</w:t>
      </w:r>
    </w:p>
    <w:p w:rsidR="00E879B0" w:rsidRDefault="00D91B08">
      <w:pPr>
        <w:spacing w:after="1200"/>
      </w:pPr>
      <w:r>
        <w:rPr>
          <w:color w:val="6B7280"/>
        </w:rPr>
        <w:t>Maestría en Inteligencia Artificial · Redes Neuronales y Deep Learning</w:t>
      </w:r>
    </w:p>
    <w:p w:rsidR="00E879B0" w:rsidRDefault="00D91B08">
      <w:pPr>
        <w:spacing w:after="300"/>
      </w:pPr>
      <w:r>
        <w:rPr>
          <w:rFonts w:ascii="Cambria" w:eastAsia="Cambria" w:hAnsi="Cambria" w:cs="Cambria"/>
          <w:b/>
          <w:bCs/>
          <w:sz w:val="44"/>
          <w:szCs w:val="44"/>
        </w:rPr>
        <w:t>Redes neuronales recurrentes frente a modelos clásicos en la predicción probabilística de la dirección de SPY a cinco ruedas</w:t>
      </w:r>
    </w:p>
    <w:p w:rsidR="00E879B0" w:rsidRDefault="00D91B08">
      <w:pPr>
        <w:spacing w:after="1400"/>
      </w:pPr>
      <w:r>
        <w:rPr>
          <w:rFonts w:ascii="Cambria" w:eastAsia="Cambria" w:hAnsi="Cambria" w:cs="Cambria"/>
          <w:i/>
          <w:iCs/>
          <w:color w:val="0F5257"/>
          <w:sz w:val="28"/>
          <w:szCs w:val="28"/>
        </w:rPr>
        <w:t>Una evaluación walk-forward centrada en la calibración</w:t>
      </w:r>
    </w:p>
    <w:p w:rsidR="00E879B0" w:rsidRDefault="00D91B08">
      <w:pPr>
        <w:spacing w:after="100"/>
      </w:pPr>
      <w:r>
        <w:rPr>
          <w:b/>
          <w:bCs/>
        </w:rPr>
        <w:t>Trabajo Práctico Final · Grupo 4</w:t>
      </w:r>
    </w:p>
    <w:p w:rsidR="00E879B0" w:rsidRDefault="00D91B08">
      <w:pPr>
        <w:pBdr>
          <w:top w:val="single" w:sz="6" w:space="8" w:color="C8962E"/>
        </w:pBdr>
        <w:spacing w:before="120" w:after="80"/>
      </w:pPr>
      <w:r>
        <w:rPr>
          <w:b/>
          <w:bCs/>
          <w:color w:val="6B7280"/>
          <w:sz w:val="21"/>
          <w:szCs w:val="21"/>
        </w:rPr>
        <w:t>Integrantes</w:t>
      </w:r>
    </w:p>
    <w:p w:rsidR="00E879B0" w:rsidRDefault="00D91B08">
      <w:pPr>
        <w:spacing w:after="40"/>
      </w:pPr>
      <w:r>
        <w:rPr>
          <w:sz w:val="23"/>
          <w:szCs w:val="23"/>
        </w:rPr>
        <w:t>Diego Diamanti</w:t>
      </w:r>
      <w:r>
        <w:rPr>
          <w:color w:val="6B7280"/>
          <w:sz w:val="21"/>
          <w:szCs w:val="21"/>
        </w:rPr>
        <w:t xml:space="preserve">  ·  ddiama2@palermo.edu</w:t>
      </w:r>
    </w:p>
    <w:p w:rsidR="00E879B0" w:rsidRDefault="00D91B08">
      <w:pPr>
        <w:spacing w:after="40"/>
      </w:pPr>
      <w:r>
        <w:rPr>
          <w:sz w:val="23"/>
          <w:szCs w:val="23"/>
        </w:rPr>
        <w:t>Melisa Maldonado</w:t>
      </w:r>
      <w:r w:rsidR="00DB7D13">
        <w:rPr>
          <w:color w:val="6B7280"/>
          <w:sz w:val="21"/>
          <w:szCs w:val="21"/>
        </w:rPr>
        <w:t xml:space="preserve">  </w:t>
      </w:r>
    </w:p>
    <w:p w:rsidR="00E879B0" w:rsidRDefault="00D91B08">
      <w:pPr>
        <w:spacing w:after="40"/>
      </w:pPr>
      <w:r>
        <w:rPr>
          <w:sz w:val="23"/>
          <w:szCs w:val="23"/>
        </w:rPr>
        <w:t>Diego Weber</w:t>
      </w:r>
      <w:r>
        <w:rPr>
          <w:color w:val="6B7280"/>
          <w:sz w:val="21"/>
          <w:szCs w:val="21"/>
        </w:rPr>
        <w:t xml:space="preserve">  </w:t>
      </w:r>
      <w:bookmarkStart w:id="0" w:name="_GoBack"/>
      <w:bookmarkEnd w:id="0"/>
    </w:p>
    <w:p w:rsidR="00E879B0" w:rsidRDefault="00D91B08">
      <w:pPr>
        <w:spacing w:before="240" w:after="40"/>
      </w:pPr>
      <w:r>
        <w:rPr>
          <w:b/>
          <w:bCs/>
          <w:color w:val="6B7280"/>
          <w:sz w:val="21"/>
          <w:szCs w:val="21"/>
        </w:rPr>
        <w:t xml:space="preserve">Docente: </w:t>
      </w:r>
      <w:r w:rsidR="00DB7D13" w:rsidRPr="00DB7D13">
        <w:rPr>
          <w:b/>
          <w:bCs/>
          <w:color w:val="6B7280"/>
          <w:sz w:val="21"/>
          <w:szCs w:val="21"/>
        </w:rPr>
        <w:t>ALAN DRESZMAN</w:t>
      </w:r>
    </w:p>
    <w:p w:rsidR="00E879B0" w:rsidRDefault="00D91B08">
      <w:pPr>
        <w:spacing w:after="40"/>
      </w:pPr>
      <w:r>
        <w:rPr>
          <w:color w:val="6B7280"/>
          <w:sz w:val="21"/>
          <w:szCs w:val="21"/>
        </w:rPr>
        <w:t>Buenos Aires, octubre de 2026</w:t>
      </w:r>
    </w:p>
    <w:p w:rsidR="00E879B0" w:rsidRDefault="00D91B08">
      <w:r>
        <w:br w:type="page"/>
      </w:r>
    </w:p>
    <w:p w:rsidR="00E879B0" w:rsidRDefault="00E879B0">
      <w:pPr>
        <w:sectPr w:rsidR="00E879B0">
          <w:pgSz w:w="11906" w:h="16838"/>
          <w:pgMar w:top="1418" w:right="1418" w:bottom="1418" w:left="1418" w:header="708" w:footer="708" w:gutter="0"/>
          <w:cols w:space="720"/>
          <w:docGrid w:linePitch="360"/>
        </w:sectPr>
      </w:pPr>
    </w:p>
    <w:p w:rsidR="00E879B0" w:rsidRDefault="00D91B08">
      <w:pPr>
        <w:pStyle w:val="Ttulo1"/>
      </w:pPr>
      <w:bookmarkStart w:id="1" w:name="_Toc242436786"/>
      <w:r>
        <w:lastRenderedPageBreak/>
        <w:t>Resumen</w:t>
      </w:r>
      <w:bookmarkEnd w:id="1"/>
    </w:p>
    <w:p w:rsidR="00E879B0" w:rsidRDefault="00D91B08">
      <w:pPr>
        <w:spacing w:after="140" w:line="300" w:lineRule="auto"/>
        <w:jc w:val="both"/>
      </w:pPr>
      <w:r>
        <w:t>Este trabajo evalúa si una red neuronal recurrente con compuertas (GRU) estima la probabilidad de que el retorno acumulado a cinco ruedas del ETF SPY sea positivo con mejo</w:t>
      </w:r>
      <w:r>
        <w:t>r desempeño que una regresión logística regularizada y que una línea de base ingenua que predice siempre la frecuencia histórica de subas. Se utilizan datos diarios de nueve ETF y del índice VIX entre mayo de 2007 y octubre de 2026, transformados en 78 var</w:t>
      </w:r>
      <w:r>
        <w:t>iables estacionarias. La evaluación sigue un esquema walk-forward de ventana expansiva con cuatro bloques de prueba (2016–2026), purga temporal entre entrenamiento y prueba y estandarización ajustada solo con datos de entrenamiento. La métrica principal es</w:t>
      </w:r>
      <w:r>
        <w:t xml:space="preserve"> el puntaje de Brier, junto con el Brier Skill Score, el AUC-ROC y la exactitud; la significancia de las diferencias se estima con un bootstrap por bloques.</w:t>
      </w:r>
    </w:p>
    <w:p w:rsidR="00E879B0" w:rsidRDefault="00D91B08">
      <w:pPr>
        <w:spacing w:after="140" w:line="300" w:lineRule="auto"/>
        <w:jc w:val="both"/>
      </w:pPr>
      <w:r>
        <w:t>Ningún modelo supera a la línea de base: su puntaje de Brier (0,2376) es significativamente menor q</w:t>
      </w:r>
      <w:r>
        <w:t>ue el de la GRU (0,2508) y el de la regresión logística (0,2656), y ambos modelos tienen BSS negativo. La GRU está significativamente mejor calibrada que la regresión logística, pero no discrimina mejor (AUC de 0,513 frente a 0,519; diferencia no significa</w:t>
      </w:r>
      <w:r>
        <w:t>tiva).</w:t>
      </w:r>
    </w:p>
    <w:p w:rsidR="00E879B0" w:rsidRDefault="00D91B08">
      <w:pPr>
        <w:spacing w:after="140" w:line="300" w:lineRule="auto"/>
        <w:jc w:val="both"/>
      </w:pPr>
      <w:r>
        <w:t>Se discute el alcance de los resultados para el uso de la red como componente de percepción dentro de AlphaTQ, una plataforma de análisis cuantitativo desarrollada por uno de los autores.</w:t>
      </w:r>
    </w:p>
    <w:p w:rsidR="00E879B0" w:rsidRDefault="00D91B08">
      <w:pPr>
        <w:spacing w:before="120" w:after="240"/>
      </w:pPr>
      <w:r>
        <w:rPr>
          <w:b/>
          <w:bCs/>
        </w:rPr>
        <w:t xml:space="preserve">Palabras clave: </w:t>
      </w:r>
      <w:r>
        <w:rPr>
          <w:i/>
          <w:iCs/>
        </w:rPr>
        <w:t>redes neuronales recurrentes, GRU, calibració</w:t>
      </w:r>
      <w:r>
        <w:rPr>
          <w:i/>
          <w:iCs/>
        </w:rPr>
        <w:t>n probabilística, puntaje de Brier, validación walk-forward, series financieras.</w:t>
      </w:r>
    </w:p>
    <w:p w:rsidR="00E879B0" w:rsidRDefault="00D91B08">
      <w:pPr>
        <w:pStyle w:val="Ttulo1"/>
      </w:pPr>
      <w:bookmarkStart w:id="2" w:name="_Toc242436787"/>
      <w:r>
        <w:t>Índice</w:t>
      </w:r>
      <w:bookmarkEnd w:id="2"/>
    </w:p>
    <w:sdt>
      <w:sdtPr>
        <w:alias w:val="Índice"/>
        <w:id w:val="1951048469"/>
      </w:sdtPr>
      <w:sdtEndPr/>
      <w:sdtContent>
        <w:p w:rsidR="00DB7D13" w:rsidRDefault="00D91B08">
          <w:pPr>
            <w:pStyle w:val="TDC1"/>
            <w:tabs>
              <w:tab w:val="right" w:leader="dot" w:pos="9060"/>
            </w:tabs>
            <w:rPr>
              <w:noProof/>
            </w:rPr>
          </w:pPr>
          <w:r>
            <w:fldChar w:fldCharType="begin"/>
          </w:r>
          <w:r>
            <w:instrText>TOC \h \o "1-2"</w:instrText>
          </w:r>
          <w:r>
            <w:fldChar w:fldCharType="separate"/>
          </w:r>
          <w:hyperlink w:anchor="_Toc242436786" w:history="1">
            <w:r w:rsidR="00DB7D13" w:rsidRPr="000609AE">
              <w:rPr>
                <w:rStyle w:val="Hipervnculo"/>
                <w:noProof/>
              </w:rPr>
              <w:t>Resumen</w:t>
            </w:r>
            <w:r w:rsidR="00DB7D13">
              <w:rPr>
                <w:noProof/>
              </w:rPr>
              <w:tab/>
            </w:r>
            <w:r w:rsidR="00DB7D13">
              <w:rPr>
                <w:noProof/>
              </w:rPr>
              <w:fldChar w:fldCharType="begin"/>
            </w:r>
            <w:r w:rsidR="00DB7D13">
              <w:rPr>
                <w:noProof/>
              </w:rPr>
              <w:instrText xml:space="preserve"> PAGEREF _Toc242436786 \h </w:instrText>
            </w:r>
            <w:r w:rsidR="00DB7D13">
              <w:rPr>
                <w:noProof/>
              </w:rPr>
            </w:r>
            <w:r w:rsidR="00DB7D13">
              <w:rPr>
                <w:noProof/>
              </w:rPr>
              <w:fldChar w:fldCharType="separate"/>
            </w:r>
            <w:r w:rsidR="00DB7D13">
              <w:rPr>
                <w:noProof/>
              </w:rPr>
              <w:t>1</w:t>
            </w:r>
            <w:r w:rsidR="00DB7D13">
              <w:rPr>
                <w:noProof/>
              </w:rPr>
              <w:fldChar w:fldCharType="end"/>
            </w:r>
          </w:hyperlink>
        </w:p>
        <w:p w:rsidR="00DB7D13" w:rsidRDefault="00DB7D13">
          <w:pPr>
            <w:pStyle w:val="TDC1"/>
            <w:tabs>
              <w:tab w:val="right" w:leader="dot" w:pos="9060"/>
            </w:tabs>
            <w:rPr>
              <w:noProof/>
            </w:rPr>
          </w:pPr>
          <w:hyperlink w:anchor="_Toc242436787" w:history="1">
            <w:r w:rsidRPr="000609AE">
              <w:rPr>
                <w:rStyle w:val="Hipervnculo"/>
                <w:noProof/>
              </w:rPr>
              <w:t>Índice</w:t>
            </w:r>
            <w:r>
              <w:rPr>
                <w:noProof/>
              </w:rPr>
              <w:tab/>
            </w:r>
            <w:r>
              <w:rPr>
                <w:noProof/>
              </w:rPr>
              <w:fldChar w:fldCharType="begin"/>
            </w:r>
            <w:r>
              <w:rPr>
                <w:noProof/>
              </w:rPr>
              <w:instrText xml:space="preserve"> PAGEREF _Toc242436787 \h </w:instrText>
            </w:r>
            <w:r>
              <w:rPr>
                <w:noProof/>
              </w:rPr>
            </w:r>
            <w:r>
              <w:rPr>
                <w:noProof/>
              </w:rPr>
              <w:fldChar w:fldCharType="separate"/>
            </w:r>
            <w:r>
              <w:rPr>
                <w:noProof/>
              </w:rPr>
              <w:t>1</w:t>
            </w:r>
            <w:r>
              <w:rPr>
                <w:noProof/>
              </w:rPr>
              <w:fldChar w:fldCharType="end"/>
            </w:r>
          </w:hyperlink>
        </w:p>
        <w:p w:rsidR="00DB7D13" w:rsidRDefault="00DB7D13">
          <w:pPr>
            <w:pStyle w:val="TDC1"/>
            <w:tabs>
              <w:tab w:val="right" w:leader="dot" w:pos="9060"/>
            </w:tabs>
            <w:rPr>
              <w:noProof/>
            </w:rPr>
          </w:pPr>
          <w:hyperlink w:anchor="_Toc242436788" w:history="1">
            <w:r w:rsidRPr="000609AE">
              <w:rPr>
                <w:rStyle w:val="Hipervnculo"/>
                <w:noProof/>
              </w:rPr>
              <w:t>1. Introducción</w:t>
            </w:r>
            <w:r>
              <w:rPr>
                <w:noProof/>
              </w:rPr>
              <w:tab/>
            </w:r>
            <w:r>
              <w:rPr>
                <w:noProof/>
              </w:rPr>
              <w:fldChar w:fldCharType="begin"/>
            </w:r>
            <w:r>
              <w:rPr>
                <w:noProof/>
              </w:rPr>
              <w:instrText xml:space="preserve"> PAGEREF _Toc242436788 \h </w:instrText>
            </w:r>
            <w:r>
              <w:rPr>
                <w:noProof/>
              </w:rPr>
            </w:r>
            <w:r>
              <w:rPr>
                <w:noProof/>
              </w:rPr>
              <w:fldChar w:fldCharType="separate"/>
            </w:r>
            <w:r>
              <w:rPr>
                <w:noProof/>
              </w:rPr>
              <w:t>3</w:t>
            </w:r>
            <w:r>
              <w:rPr>
                <w:noProof/>
              </w:rPr>
              <w:fldChar w:fldCharType="end"/>
            </w:r>
          </w:hyperlink>
        </w:p>
        <w:p w:rsidR="00DB7D13" w:rsidRDefault="00DB7D13">
          <w:pPr>
            <w:pStyle w:val="TDC2"/>
            <w:tabs>
              <w:tab w:val="right" w:leader="dot" w:pos="9060"/>
            </w:tabs>
            <w:rPr>
              <w:noProof/>
            </w:rPr>
          </w:pPr>
          <w:hyperlink w:anchor="_Toc242436789" w:history="1">
            <w:r w:rsidRPr="000609AE">
              <w:rPr>
                <w:rStyle w:val="Hipervnculo"/>
                <w:noProof/>
              </w:rPr>
              <w:t>1.1 Caso de estudio: AlphaTQ</w:t>
            </w:r>
            <w:r>
              <w:rPr>
                <w:noProof/>
              </w:rPr>
              <w:tab/>
            </w:r>
            <w:r>
              <w:rPr>
                <w:noProof/>
              </w:rPr>
              <w:fldChar w:fldCharType="begin"/>
            </w:r>
            <w:r>
              <w:rPr>
                <w:noProof/>
              </w:rPr>
              <w:instrText xml:space="preserve"> PAGEREF _Toc242436789 \h </w:instrText>
            </w:r>
            <w:r>
              <w:rPr>
                <w:noProof/>
              </w:rPr>
            </w:r>
            <w:r>
              <w:rPr>
                <w:noProof/>
              </w:rPr>
              <w:fldChar w:fldCharType="separate"/>
            </w:r>
            <w:r>
              <w:rPr>
                <w:noProof/>
              </w:rPr>
              <w:t>3</w:t>
            </w:r>
            <w:r>
              <w:rPr>
                <w:noProof/>
              </w:rPr>
              <w:fldChar w:fldCharType="end"/>
            </w:r>
          </w:hyperlink>
        </w:p>
        <w:p w:rsidR="00DB7D13" w:rsidRDefault="00DB7D13">
          <w:pPr>
            <w:pStyle w:val="TDC2"/>
            <w:tabs>
              <w:tab w:val="right" w:leader="dot" w:pos="9060"/>
            </w:tabs>
            <w:rPr>
              <w:noProof/>
            </w:rPr>
          </w:pPr>
          <w:hyperlink w:anchor="_Toc242436790" w:history="1">
            <w:r w:rsidRPr="000609AE">
              <w:rPr>
                <w:rStyle w:val="Hipervnculo"/>
                <w:noProof/>
              </w:rPr>
              <w:t>1.2 Cambios respecto de la versión anterior</w:t>
            </w:r>
            <w:r>
              <w:rPr>
                <w:noProof/>
              </w:rPr>
              <w:tab/>
            </w:r>
            <w:r>
              <w:rPr>
                <w:noProof/>
              </w:rPr>
              <w:fldChar w:fldCharType="begin"/>
            </w:r>
            <w:r>
              <w:rPr>
                <w:noProof/>
              </w:rPr>
              <w:instrText xml:space="preserve"> PAGEREF _Toc242436790 \h </w:instrText>
            </w:r>
            <w:r>
              <w:rPr>
                <w:noProof/>
              </w:rPr>
            </w:r>
            <w:r>
              <w:rPr>
                <w:noProof/>
              </w:rPr>
              <w:fldChar w:fldCharType="separate"/>
            </w:r>
            <w:r>
              <w:rPr>
                <w:noProof/>
              </w:rPr>
              <w:t>3</w:t>
            </w:r>
            <w:r>
              <w:rPr>
                <w:noProof/>
              </w:rPr>
              <w:fldChar w:fldCharType="end"/>
            </w:r>
          </w:hyperlink>
        </w:p>
        <w:p w:rsidR="00DB7D13" w:rsidRDefault="00DB7D13">
          <w:pPr>
            <w:pStyle w:val="TDC1"/>
            <w:tabs>
              <w:tab w:val="right" w:leader="dot" w:pos="9060"/>
            </w:tabs>
            <w:rPr>
              <w:noProof/>
            </w:rPr>
          </w:pPr>
          <w:hyperlink w:anchor="_Toc242436791" w:history="1">
            <w:r w:rsidRPr="000609AE">
              <w:rPr>
                <w:rStyle w:val="Hipervnculo"/>
                <w:noProof/>
              </w:rPr>
              <w:t>2. Pregunta de investigación e hipótesis</w:t>
            </w:r>
            <w:r>
              <w:rPr>
                <w:noProof/>
              </w:rPr>
              <w:tab/>
            </w:r>
            <w:r>
              <w:rPr>
                <w:noProof/>
              </w:rPr>
              <w:fldChar w:fldCharType="begin"/>
            </w:r>
            <w:r>
              <w:rPr>
                <w:noProof/>
              </w:rPr>
              <w:instrText xml:space="preserve"> PAGEREF _Toc242436791 \h </w:instrText>
            </w:r>
            <w:r>
              <w:rPr>
                <w:noProof/>
              </w:rPr>
            </w:r>
            <w:r>
              <w:rPr>
                <w:noProof/>
              </w:rPr>
              <w:fldChar w:fldCharType="separate"/>
            </w:r>
            <w:r>
              <w:rPr>
                <w:noProof/>
              </w:rPr>
              <w:t>4</w:t>
            </w:r>
            <w:r>
              <w:rPr>
                <w:noProof/>
              </w:rPr>
              <w:fldChar w:fldCharType="end"/>
            </w:r>
          </w:hyperlink>
        </w:p>
        <w:p w:rsidR="00DB7D13" w:rsidRDefault="00DB7D13">
          <w:pPr>
            <w:pStyle w:val="TDC1"/>
            <w:tabs>
              <w:tab w:val="right" w:leader="dot" w:pos="9060"/>
            </w:tabs>
            <w:rPr>
              <w:noProof/>
            </w:rPr>
          </w:pPr>
          <w:hyperlink w:anchor="_Toc242436792" w:history="1">
            <w:r w:rsidRPr="000609AE">
              <w:rPr>
                <w:rStyle w:val="Hipervnculo"/>
                <w:noProof/>
              </w:rPr>
              <w:t>3. Antecedentes</w:t>
            </w:r>
            <w:r>
              <w:rPr>
                <w:noProof/>
              </w:rPr>
              <w:tab/>
            </w:r>
            <w:r>
              <w:rPr>
                <w:noProof/>
              </w:rPr>
              <w:fldChar w:fldCharType="begin"/>
            </w:r>
            <w:r>
              <w:rPr>
                <w:noProof/>
              </w:rPr>
              <w:instrText xml:space="preserve"> PAGEREF _Toc242436792 \h </w:instrText>
            </w:r>
            <w:r>
              <w:rPr>
                <w:noProof/>
              </w:rPr>
            </w:r>
            <w:r>
              <w:rPr>
                <w:noProof/>
              </w:rPr>
              <w:fldChar w:fldCharType="separate"/>
            </w:r>
            <w:r>
              <w:rPr>
                <w:noProof/>
              </w:rPr>
              <w:t>4</w:t>
            </w:r>
            <w:r>
              <w:rPr>
                <w:noProof/>
              </w:rPr>
              <w:fldChar w:fldCharType="end"/>
            </w:r>
          </w:hyperlink>
        </w:p>
        <w:p w:rsidR="00DB7D13" w:rsidRDefault="00DB7D13">
          <w:pPr>
            <w:pStyle w:val="TDC1"/>
            <w:tabs>
              <w:tab w:val="right" w:leader="dot" w:pos="9060"/>
            </w:tabs>
            <w:rPr>
              <w:noProof/>
            </w:rPr>
          </w:pPr>
          <w:hyperlink w:anchor="_Toc242436793" w:history="1">
            <w:r w:rsidRPr="000609AE">
              <w:rPr>
                <w:rStyle w:val="Hipervnculo"/>
                <w:noProof/>
              </w:rPr>
              <w:t>4. Datos</w:t>
            </w:r>
            <w:r>
              <w:rPr>
                <w:noProof/>
              </w:rPr>
              <w:tab/>
            </w:r>
            <w:r>
              <w:rPr>
                <w:noProof/>
              </w:rPr>
              <w:fldChar w:fldCharType="begin"/>
            </w:r>
            <w:r>
              <w:rPr>
                <w:noProof/>
              </w:rPr>
              <w:instrText xml:space="preserve"> PAGEREF _Toc242436793 \h </w:instrText>
            </w:r>
            <w:r>
              <w:rPr>
                <w:noProof/>
              </w:rPr>
            </w:r>
            <w:r>
              <w:rPr>
                <w:noProof/>
              </w:rPr>
              <w:fldChar w:fldCharType="separate"/>
            </w:r>
            <w:r>
              <w:rPr>
                <w:noProof/>
              </w:rPr>
              <w:t>5</w:t>
            </w:r>
            <w:r>
              <w:rPr>
                <w:noProof/>
              </w:rPr>
              <w:fldChar w:fldCharType="end"/>
            </w:r>
          </w:hyperlink>
        </w:p>
        <w:p w:rsidR="00DB7D13" w:rsidRDefault="00DB7D13">
          <w:pPr>
            <w:pStyle w:val="TDC1"/>
            <w:tabs>
              <w:tab w:val="right" w:leader="dot" w:pos="9060"/>
            </w:tabs>
            <w:rPr>
              <w:noProof/>
            </w:rPr>
          </w:pPr>
          <w:hyperlink w:anchor="_Toc242436794" w:history="1">
            <w:r w:rsidRPr="000609AE">
              <w:rPr>
                <w:rStyle w:val="Hipervnculo"/>
                <w:noProof/>
              </w:rPr>
              <w:t>5. Variables y objetivo</w:t>
            </w:r>
            <w:r>
              <w:rPr>
                <w:noProof/>
              </w:rPr>
              <w:tab/>
            </w:r>
            <w:r>
              <w:rPr>
                <w:noProof/>
              </w:rPr>
              <w:fldChar w:fldCharType="begin"/>
            </w:r>
            <w:r>
              <w:rPr>
                <w:noProof/>
              </w:rPr>
              <w:instrText xml:space="preserve"> PAGEREF _Toc242436794 \h </w:instrText>
            </w:r>
            <w:r>
              <w:rPr>
                <w:noProof/>
              </w:rPr>
            </w:r>
            <w:r>
              <w:rPr>
                <w:noProof/>
              </w:rPr>
              <w:fldChar w:fldCharType="separate"/>
            </w:r>
            <w:r>
              <w:rPr>
                <w:noProof/>
              </w:rPr>
              <w:t>5</w:t>
            </w:r>
            <w:r>
              <w:rPr>
                <w:noProof/>
              </w:rPr>
              <w:fldChar w:fldCharType="end"/>
            </w:r>
          </w:hyperlink>
        </w:p>
        <w:p w:rsidR="00DB7D13" w:rsidRDefault="00DB7D13">
          <w:pPr>
            <w:pStyle w:val="TDC2"/>
            <w:tabs>
              <w:tab w:val="right" w:leader="dot" w:pos="9060"/>
            </w:tabs>
            <w:rPr>
              <w:noProof/>
            </w:rPr>
          </w:pPr>
          <w:hyperlink w:anchor="_Toc242436795" w:history="1">
            <w:r w:rsidRPr="000609AE">
              <w:rPr>
                <w:rStyle w:val="Hipervnculo"/>
                <w:noProof/>
              </w:rPr>
              <w:t>5.1 Variables explicativas</w:t>
            </w:r>
            <w:r>
              <w:rPr>
                <w:noProof/>
              </w:rPr>
              <w:tab/>
            </w:r>
            <w:r>
              <w:rPr>
                <w:noProof/>
              </w:rPr>
              <w:fldChar w:fldCharType="begin"/>
            </w:r>
            <w:r>
              <w:rPr>
                <w:noProof/>
              </w:rPr>
              <w:instrText xml:space="preserve"> PAGEREF _Toc242436795 \h </w:instrText>
            </w:r>
            <w:r>
              <w:rPr>
                <w:noProof/>
              </w:rPr>
            </w:r>
            <w:r>
              <w:rPr>
                <w:noProof/>
              </w:rPr>
              <w:fldChar w:fldCharType="separate"/>
            </w:r>
            <w:r>
              <w:rPr>
                <w:noProof/>
              </w:rPr>
              <w:t>5</w:t>
            </w:r>
            <w:r>
              <w:rPr>
                <w:noProof/>
              </w:rPr>
              <w:fldChar w:fldCharType="end"/>
            </w:r>
          </w:hyperlink>
        </w:p>
        <w:p w:rsidR="00DB7D13" w:rsidRDefault="00DB7D13">
          <w:pPr>
            <w:pStyle w:val="TDC2"/>
            <w:tabs>
              <w:tab w:val="right" w:leader="dot" w:pos="9060"/>
            </w:tabs>
            <w:rPr>
              <w:noProof/>
            </w:rPr>
          </w:pPr>
          <w:hyperlink w:anchor="_Toc242436796" w:history="1">
            <w:r w:rsidRPr="000609AE">
              <w:rPr>
                <w:rStyle w:val="Hipervnculo"/>
                <w:noProof/>
              </w:rPr>
              <w:t>5.2 Variable objetivo</w:t>
            </w:r>
            <w:r>
              <w:rPr>
                <w:noProof/>
              </w:rPr>
              <w:tab/>
            </w:r>
            <w:r>
              <w:rPr>
                <w:noProof/>
              </w:rPr>
              <w:fldChar w:fldCharType="begin"/>
            </w:r>
            <w:r>
              <w:rPr>
                <w:noProof/>
              </w:rPr>
              <w:instrText xml:space="preserve"> PAGEREF _Toc242436796 \h </w:instrText>
            </w:r>
            <w:r>
              <w:rPr>
                <w:noProof/>
              </w:rPr>
            </w:r>
            <w:r>
              <w:rPr>
                <w:noProof/>
              </w:rPr>
              <w:fldChar w:fldCharType="separate"/>
            </w:r>
            <w:r>
              <w:rPr>
                <w:noProof/>
              </w:rPr>
              <w:t>6</w:t>
            </w:r>
            <w:r>
              <w:rPr>
                <w:noProof/>
              </w:rPr>
              <w:fldChar w:fldCharType="end"/>
            </w:r>
          </w:hyperlink>
        </w:p>
        <w:p w:rsidR="00DB7D13" w:rsidRDefault="00DB7D13">
          <w:pPr>
            <w:pStyle w:val="TDC1"/>
            <w:tabs>
              <w:tab w:val="right" w:leader="dot" w:pos="9060"/>
            </w:tabs>
            <w:rPr>
              <w:noProof/>
            </w:rPr>
          </w:pPr>
          <w:hyperlink w:anchor="_Toc242436797" w:history="1">
            <w:r w:rsidRPr="000609AE">
              <w:rPr>
                <w:rStyle w:val="Hipervnculo"/>
                <w:noProof/>
              </w:rPr>
              <w:t>6. Metodología</w:t>
            </w:r>
            <w:r>
              <w:rPr>
                <w:noProof/>
              </w:rPr>
              <w:tab/>
            </w:r>
            <w:r>
              <w:rPr>
                <w:noProof/>
              </w:rPr>
              <w:fldChar w:fldCharType="begin"/>
            </w:r>
            <w:r>
              <w:rPr>
                <w:noProof/>
              </w:rPr>
              <w:instrText xml:space="preserve"> PAGEREF _Toc242436797 \h </w:instrText>
            </w:r>
            <w:r>
              <w:rPr>
                <w:noProof/>
              </w:rPr>
            </w:r>
            <w:r>
              <w:rPr>
                <w:noProof/>
              </w:rPr>
              <w:fldChar w:fldCharType="separate"/>
            </w:r>
            <w:r>
              <w:rPr>
                <w:noProof/>
              </w:rPr>
              <w:t>6</w:t>
            </w:r>
            <w:r>
              <w:rPr>
                <w:noProof/>
              </w:rPr>
              <w:fldChar w:fldCharType="end"/>
            </w:r>
          </w:hyperlink>
        </w:p>
        <w:p w:rsidR="00DB7D13" w:rsidRDefault="00DB7D13">
          <w:pPr>
            <w:pStyle w:val="TDC2"/>
            <w:tabs>
              <w:tab w:val="right" w:leader="dot" w:pos="9060"/>
            </w:tabs>
            <w:rPr>
              <w:noProof/>
            </w:rPr>
          </w:pPr>
          <w:hyperlink w:anchor="_Toc242436798" w:history="1">
            <w:r w:rsidRPr="000609AE">
              <w:rPr>
                <w:rStyle w:val="Hipervnculo"/>
                <w:noProof/>
              </w:rPr>
              <w:t>6.1 Modelos comparados</w:t>
            </w:r>
            <w:r>
              <w:rPr>
                <w:noProof/>
              </w:rPr>
              <w:tab/>
            </w:r>
            <w:r>
              <w:rPr>
                <w:noProof/>
              </w:rPr>
              <w:fldChar w:fldCharType="begin"/>
            </w:r>
            <w:r>
              <w:rPr>
                <w:noProof/>
              </w:rPr>
              <w:instrText xml:space="preserve"> PAGEREF _Toc242436798 \h </w:instrText>
            </w:r>
            <w:r>
              <w:rPr>
                <w:noProof/>
              </w:rPr>
            </w:r>
            <w:r>
              <w:rPr>
                <w:noProof/>
              </w:rPr>
              <w:fldChar w:fldCharType="separate"/>
            </w:r>
            <w:r>
              <w:rPr>
                <w:noProof/>
              </w:rPr>
              <w:t>6</w:t>
            </w:r>
            <w:r>
              <w:rPr>
                <w:noProof/>
              </w:rPr>
              <w:fldChar w:fldCharType="end"/>
            </w:r>
          </w:hyperlink>
        </w:p>
        <w:p w:rsidR="00DB7D13" w:rsidRDefault="00DB7D13">
          <w:pPr>
            <w:pStyle w:val="TDC2"/>
            <w:tabs>
              <w:tab w:val="right" w:leader="dot" w:pos="9060"/>
            </w:tabs>
            <w:rPr>
              <w:noProof/>
            </w:rPr>
          </w:pPr>
          <w:hyperlink w:anchor="_Toc242436799" w:history="1">
            <w:r w:rsidRPr="000609AE">
              <w:rPr>
                <w:rStyle w:val="Hipervnculo"/>
                <w:noProof/>
              </w:rPr>
              <w:t>6.2 Validación walk-forward</w:t>
            </w:r>
            <w:r>
              <w:rPr>
                <w:noProof/>
              </w:rPr>
              <w:tab/>
            </w:r>
            <w:r>
              <w:rPr>
                <w:noProof/>
              </w:rPr>
              <w:fldChar w:fldCharType="begin"/>
            </w:r>
            <w:r>
              <w:rPr>
                <w:noProof/>
              </w:rPr>
              <w:instrText xml:space="preserve"> PAGEREF _Toc242436799 \h </w:instrText>
            </w:r>
            <w:r>
              <w:rPr>
                <w:noProof/>
              </w:rPr>
            </w:r>
            <w:r>
              <w:rPr>
                <w:noProof/>
              </w:rPr>
              <w:fldChar w:fldCharType="separate"/>
            </w:r>
            <w:r>
              <w:rPr>
                <w:noProof/>
              </w:rPr>
              <w:t>7</w:t>
            </w:r>
            <w:r>
              <w:rPr>
                <w:noProof/>
              </w:rPr>
              <w:fldChar w:fldCharType="end"/>
            </w:r>
          </w:hyperlink>
        </w:p>
        <w:p w:rsidR="00DB7D13" w:rsidRDefault="00DB7D13">
          <w:pPr>
            <w:pStyle w:val="TDC2"/>
            <w:tabs>
              <w:tab w:val="right" w:leader="dot" w:pos="9060"/>
            </w:tabs>
            <w:rPr>
              <w:noProof/>
            </w:rPr>
          </w:pPr>
          <w:hyperlink w:anchor="_Toc242436800" w:history="1">
            <w:r w:rsidRPr="000609AE">
              <w:rPr>
                <w:rStyle w:val="Hipervnculo"/>
                <w:noProof/>
              </w:rPr>
              <w:t>6.3 Prevención de fuga de información</w:t>
            </w:r>
            <w:r>
              <w:rPr>
                <w:noProof/>
              </w:rPr>
              <w:tab/>
            </w:r>
            <w:r>
              <w:rPr>
                <w:noProof/>
              </w:rPr>
              <w:fldChar w:fldCharType="begin"/>
            </w:r>
            <w:r>
              <w:rPr>
                <w:noProof/>
              </w:rPr>
              <w:instrText xml:space="preserve"> PAGEREF _Toc242436800 \h </w:instrText>
            </w:r>
            <w:r>
              <w:rPr>
                <w:noProof/>
              </w:rPr>
            </w:r>
            <w:r>
              <w:rPr>
                <w:noProof/>
              </w:rPr>
              <w:fldChar w:fldCharType="separate"/>
            </w:r>
            <w:r>
              <w:rPr>
                <w:noProof/>
              </w:rPr>
              <w:t>7</w:t>
            </w:r>
            <w:r>
              <w:rPr>
                <w:noProof/>
              </w:rPr>
              <w:fldChar w:fldCharType="end"/>
            </w:r>
          </w:hyperlink>
        </w:p>
        <w:p w:rsidR="00DB7D13" w:rsidRDefault="00DB7D13">
          <w:pPr>
            <w:pStyle w:val="TDC2"/>
            <w:tabs>
              <w:tab w:val="right" w:leader="dot" w:pos="9060"/>
            </w:tabs>
            <w:rPr>
              <w:noProof/>
            </w:rPr>
          </w:pPr>
          <w:hyperlink w:anchor="_Toc242436801" w:history="1">
            <w:r w:rsidRPr="000609AE">
              <w:rPr>
                <w:rStyle w:val="Hipervnculo"/>
                <w:noProof/>
              </w:rPr>
              <w:t>6.4 Métricas</w:t>
            </w:r>
            <w:r>
              <w:rPr>
                <w:noProof/>
              </w:rPr>
              <w:tab/>
            </w:r>
            <w:r>
              <w:rPr>
                <w:noProof/>
              </w:rPr>
              <w:fldChar w:fldCharType="begin"/>
            </w:r>
            <w:r>
              <w:rPr>
                <w:noProof/>
              </w:rPr>
              <w:instrText xml:space="preserve"> PAGEREF _Toc242436801 \h </w:instrText>
            </w:r>
            <w:r>
              <w:rPr>
                <w:noProof/>
              </w:rPr>
            </w:r>
            <w:r>
              <w:rPr>
                <w:noProof/>
              </w:rPr>
              <w:fldChar w:fldCharType="separate"/>
            </w:r>
            <w:r>
              <w:rPr>
                <w:noProof/>
              </w:rPr>
              <w:t>8</w:t>
            </w:r>
            <w:r>
              <w:rPr>
                <w:noProof/>
              </w:rPr>
              <w:fldChar w:fldCharType="end"/>
            </w:r>
          </w:hyperlink>
        </w:p>
        <w:p w:rsidR="00DB7D13" w:rsidRDefault="00DB7D13">
          <w:pPr>
            <w:pStyle w:val="TDC2"/>
            <w:tabs>
              <w:tab w:val="right" w:leader="dot" w:pos="9060"/>
            </w:tabs>
            <w:rPr>
              <w:noProof/>
            </w:rPr>
          </w:pPr>
          <w:hyperlink w:anchor="_Toc242436802" w:history="1">
            <w:r w:rsidRPr="000609AE">
              <w:rPr>
                <w:rStyle w:val="Hipervnculo"/>
                <w:noProof/>
              </w:rPr>
              <w:t>6.5 Significancia estadística</w:t>
            </w:r>
            <w:r>
              <w:rPr>
                <w:noProof/>
              </w:rPr>
              <w:tab/>
            </w:r>
            <w:r>
              <w:rPr>
                <w:noProof/>
              </w:rPr>
              <w:fldChar w:fldCharType="begin"/>
            </w:r>
            <w:r>
              <w:rPr>
                <w:noProof/>
              </w:rPr>
              <w:instrText xml:space="preserve"> PAGEREF _Toc242436802 \h </w:instrText>
            </w:r>
            <w:r>
              <w:rPr>
                <w:noProof/>
              </w:rPr>
            </w:r>
            <w:r>
              <w:rPr>
                <w:noProof/>
              </w:rPr>
              <w:fldChar w:fldCharType="separate"/>
            </w:r>
            <w:r>
              <w:rPr>
                <w:noProof/>
              </w:rPr>
              <w:t>8</w:t>
            </w:r>
            <w:r>
              <w:rPr>
                <w:noProof/>
              </w:rPr>
              <w:fldChar w:fldCharType="end"/>
            </w:r>
          </w:hyperlink>
        </w:p>
        <w:p w:rsidR="00DB7D13" w:rsidRDefault="00DB7D13">
          <w:pPr>
            <w:pStyle w:val="TDC2"/>
            <w:tabs>
              <w:tab w:val="right" w:leader="dot" w:pos="9060"/>
            </w:tabs>
            <w:rPr>
              <w:noProof/>
            </w:rPr>
          </w:pPr>
          <w:hyperlink w:anchor="_Toc242436803" w:history="1">
            <w:r w:rsidRPr="000609AE">
              <w:rPr>
                <w:rStyle w:val="Hipervnculo"/>
                <w:noProof/>
              </w:rPr>
              <w:t>6.6 Evaluación económica</w:t>
            </w:r>
            <w:r>
              <w:rPr>
                <w:noProof/>
              </w:rPr>
              <w:tab/>
            </w:r>
            <w:r>
              <w:rPr>
                <w:noProof/>
              </w:rPr>
              <w:fldChar w:fldCharType="begin"/>
            </w:r>
            <w:r>
              <w:rPr>
                <w:noProof/>
              </w:rPr>
              <w:instrText xml:space="preserve"> PAGEREF _Toc242436803 \h </w:instrText>
            </w:r>
            <w:r>
              <w:rPr>
                <w:noProof/>
              </w:rPr>
            </w:r>
            <w:r>
              <w:rPr>
                <w:noProof/>
              </w:rPr>
              <w:fldChar w:fldCharType="separate"/>
            </w:r>
            <w:r>
              <w:rPr>
                <w:noProof/>
              </w:rPr>
              <w:t>8</w:t>
            </w:r>
            <w:r>
              <w:rPr>
                <w:noProof/>
              </w:rPr>
              <w:fldChar w:fldCharType="end"/>
            </w:r>
          </w:hyperlink>
        </w:p>
        <w:p w:rsidR="00DB7D13" w:rsidRDefault="00DB7D13">
          <w:pPr>
            <w:pStyle w:val="TDC1"/>
            <w:tabs>
              <w:tab w:val="right" w:leader="dot" w:pos="9060"/>
            </w:tabs>
            <w:rPr>
              <w:noProof/>
            </w:rPr>
          </w:pPr>
          <w:hyperlink w:anchor="_Toc242436804" w:history="1">
            <w:r w:rsidRPr="000609AE">
              <w:rPr>
                <w:rStyle w:val="Hipervnculo"/>
                <w:noProof/>
              </w:rPr>
              <w:t>7. Resultados</w:t>
            </w:r>
            <w:r>
              <w:rPr>
                <w:noProof/>
              </w:rPr>
              <w:tab/>
            </w:r>
            <w:r>
              <w:rPr>
                <w:noProof/>
              </w:rPr>
              <w:fldChar w:fldCharType="begin"/>
            </w:r>
            <w:r>
              <w:rPr>
                <w:noProof/>
              </w:rPr>
              <w:instrText xml:space="preserve"> PAGEREF _Toc242436804 \h </w:instrText>
            </w:r>
            <w:r>
              <w:rPr>
                <w:noProof/>
              </w:rPr>
            </w:r>
            <w:r>
              <w:rPr>
                <w:noProof/>
              </w:rPr>
              <w:fldChar w:fldCharType="separate"/>
            </w:r>
            <w:r>
              <w:rPr>
                <w:noProof/>
              </w:rPr>
              <w:t>8</w:t>
            </w:r>
            <w:r>
              <w:rPr>
                <w:noProof/>
              </w:rPr>
              <w:fldChar w:fldCharType="end"/>
            </w:r>
          </w:hyperlink>
        </w:p>
        <w:p w:rsidR="00DB7D13" w:rsidRDefault="00DB7D13">
          <w:pPr>
            <w:pStyle w:val="TDC2"/>
            <w:tabs>
              <w:tab w:val="right" w:leader="dot" w:pos="9060"/>
            </w:tabs>
            <w:rPr>
              <w:noProof/>
            </w:rPr>
          </w:pPr>
          <w:hyperlink w:anchor="_Toc242436805" w:history="1">
            <w:r w:rsidRPr="000609AE">
              <w:rPr>
                <w:rStyle w:val="Hipervnculo"/>
                <w:noProof/>
              </w:rPr>
              <w:t>7.1 Desempeño por bloque</w:t>
            </w:r>
            <w:r>
              <w:rPr>
                <w:noProof/>
              </w:rPr>
              <w:tab/>
            </w:r>
            <w:r>
              <w:rPr>
                <w:noProof/>
              </w:rPr>
              <w:fldChar w:fldCharType="begin"/>
            </w:r>
            <w:r>
              <w:rPr>
                <w:noProof/>
              </w:rPr>
              <w:instrText xml:space="preserve"> PAGEREF _Toc242436805 \h </w:instrText>
            </w:r>
            <w:r>
              <w:rPr>
                <w:noProof/>
              </w:rPr>
            </w:r>
            <w:r>
              <w:rPr>
                <w:noProof/>
              </w:rPr>
              <w:fldChar w:fldCharType="separate"/>
            </w:r>
            <w:r>
              <w:rPr>
                <w:noProof/>
              </w:rPr>
              <w:t>9</w:t>
            </w:r>
            <w:r>
              <w:rPr>
                <w:noProof/>
              </w:rPr>
              <w:fldChar w:fldCharType="end"/>
            </w:r>
          </w:hyperlink>
        </w:p>
        <w:p w:rsidR="00DB7D13" w:rsidRDefault="00DB7D13">
          <w:pPr>
            <w:pStyle w:val="TDC2"/>
            <w:tabs>
              <w:tab w:val="right" w:leader="dot" w:pos="9060"/>
            </w:tabs>
            <w:rPr>
              <w:noProof/>
            </w:rPr>
          </w:pPr>
          <w:hyperlink w:anchor="_Toc242436806" w:history="1">
            <w:r w:rsidRPr="000609AE">
              <w:rPr>
                <w:rStyle w:val="Hipervnculo"/>
                <w:noProof/>
              </w:rPr>
              <w:t>7.2 Dinámica de entrenamiento</w:t>
            </w:r>
            <w:r>
              <w:rPr>
                <w:noProof/>
              </w:rPr>
              <w:tab/>
            </w:r>
            <w:r>
              <w:rPr>
                <w:noProof/>
              </w:rPr>
              <w:fldChar w:fldCharType="begin"/>
            </w:r>
            <w:r>
              <w:rPr>
                <w:noProof/>
              </w:rPr>
              <w:instrText xml:space="preserve"> PAGEREF _Toc242436806 \h </w:instrText>
            </w:r>
            <w:r>
              <w:rPr>
                <w:noProof/>
              </w:rPr>
            </w:r>
            <w:r>
              <w:rPr>
                <w:noProof/>
              </w:rPr>
              <w:fldChar w:fldCharType="separate"/>
            </w:r>
            <w:r>
              <w:rPr>
                <w:noProof/>
              </w:rPr>
              <w:t>9</w:t>
            </w:r>
            <w:r>
              <w:rPr>
                <w:noProof/>
              </w:rPr>
              <w:fldChar w:fldCharType="end"/>
            </w:r>
          </w:hyperlink>
        </w:p>
        <w:p w:rsidR="00DB7D13" w:rsidRDefault="00DB7D13">
          <w:pPr>
            <w:pStyle w:val="TDC2"/>
            <w:tabs>
              <w:tab w:val="right" w:leader="dot" w:pos="9060"/>
            </w:tabs>
            <w:rPr>
              <w:noProof/>
            </w:rPr>
          </w:pPr>
          <w:hyperlink w:anchor="_Toc242436807" w:history="1">
            <w:r w:rsidRPr="000609AE">
              <w:rPr>
                <w:rStyle w:val="Hipervnculo"/>
                <w:noProof/>
              </w:rPr>
              <w:t>7.3 Calibración</w:t>
            </w:r>
            <w:r>
              <w:rPr>
                <w:noProof/>
              </w:rPr>
              <w:tab/>
            </w:r>
            <w:r>
              <w:rPr>
                <w:noProof/>
              </w:rPr>
              <w:fldChar w:fldCharType="begin"/>
            </w:r>
            <w:r>
              <w:rPr>
                <w:noProof/>
              </w:rPr>
              <w:instrText xml:space="preserve"> PAGEREF _Toc242436807 \h </w:instrText>
            </w:r>
            <w:r>
              <w:rPr>
                <w:noProof/>
              </w:rPr>
            </w:r>
            <w:r>
              <w:rPr>
                <w:noProof/>
              </w:rPr>
              <w:fldChar w:fldCharType="separate"/>
            </w:r>
            <w:r>
              <w:rPr>
                <w:noProof/>
              </w:rPr>
              <w:t>10</w:t>
            </w:r>
            <w:r>
              <w:rPr>
                <w:noProof/>
              </w:rPr>
              <w:fldChar w:fldCharType="end"/>
            </w:r>
          </w:hyperlink>
        </w:p>
        <w:p w:rsidR="00DB7D13" w:rsidRDefault="00DB7D13">
          <w:pPr>
            <w:pStyle w:val="TDC2"/>
            <w:tabs>
              <w:tab w:val="right" w:leader="dot" w:pos="9060"/>
            </w:tabs>
            <w:rPr>
              <w:noProof/>
            </w:rPr>
          </w:pPr>
          <w:hyperlink w:anchor="_Toc242436808" w:history="1">
            <w:r w:rsidRPr="000609AE">
              <w:rPr>
                <w:rStyle w:val="Hipervnculo"/>
                <w:noProof/>
              </w:rPr>
              <w:t>7.4 Significancia de las diferencias</w:t>
            </w:r>
            <w:r>
              <w:rPr>
                <w:noProof/>
              </w:rPr>
              <w:tab/>
            </w:r>
            <w:r>
              <w:rPr>
                <w:noProof/>
              </w:rPr>
              <w:fldChar w:fldCharType="begin"/>
            </w:r>
            <w:r>
              <w:rPr>
                <w:noProof/>
              </w:rPr>
              <w:instrText xml:space="preserve"> PAGEREF _Toc242436808 \h </w:instrText>
            </w:r>
            <w:r>
              <w:rPr>
                <w:noProof/>
              </w:rPr>
            </w:r>
            <w:r>
              <w:rPr>
                <w:noProof/>
              </w:rPr>
              <w:fldChar w:fldCharType="separate"/>
            </w:r>
            <w:r>
              <w:rPr>
                <w:noProof/>
              </w:rPr>
              <w:t>11</w:t>
            </w:r>
            <w:r>
              <w:rPr>
                <w:noProof/>
              </w:rPr>
              <w:fldChar w:fldCharType="end"/>
            </w:r>
          </w:hyperlink>
        </w:p>
        <w:p w:rsidR="00DB7D13" w:rsidRDefault="00DB7D13">
          <w:pPr>
            <w:pStyle w:val="TDC2"/>
            <w:tabs>
              <w:tab w:val="right" w:leader="dot" w:pos="9060"/>
            </w:tabs>
            <w:rPr>
              <w:noProof/>
            </w:rPr>
          </w:pPr>
          <w:hyperlink w:anchor="_Toc242436809" w:history="1">
            <w:r w:rsidRPr="000609AE">
              <w:rPr>
                <w:rStyle w:val="Hipervnculo"/>
                <w:noProof/>
              </w:rPr>
              <w:t>7.5 Evaluación económica</w:t>
            </w:r>
            <w:r>
              <w:rPr>
                <w:noProof/>
              </w:rPr>
              <w:tab/>
            </w:r>
            <w:r>
              <w:rPr>
                <w:noProof/>
              </w:rPr>
              <w:fldChar w:fldCharType="begin"/>
            </w:r>
            <w:r>
              <w:rPr>
                <w:noProof/>
              </w:rPr>
              <w:instrText xml:space="preserve"> PAGEREF _Toc242436809 \h </w:instrText>
            </w:r>
            <w:r>
              <w:rPr>
                <w:noProof/>
              </w:rPr>
            </w:r>
            <w:r>
              <w:rPr>
                <w:noProof/>
              </w:rPr>
              <w:fldChar w:fldCharType="separate"/>
            </w:r>
            <w:r>
              <w:rPr>
                <w:noProof/>
              </w:rPr>
              <w:t>11</w:t>
            </w:r>
            <w:r>
              <w:rPr>
                <w:noProof/>
              </w:rPr>
              <w:fldChar w:fldCharType="end"/>
            </w:r>
          </w:hyperlink>
        </w:p>
        <w:p w:rsidR="00DB7D13" w:rsidRDefault="00DB7D13">
          <w:pPr>
            <w:pStyle w:val="TDC1"/>
            <w:tabs>
              <w:tab w:val="right" w:leader="dot" w:pos="9060"/>
            </w:tabs>
            <w:rPr>
              <w:noProof/>
            </w:rPr>
          </w:pPr>
          <w:hyperlink w:anchor="_Toc242436810" w:history="1">
            <w:r w:rsidRPr="000609AE">
              <w:rPr>
                <w:rStyle w:val="Hipervnculo"/>
                <w:noProof/>
              </w:rPr>
              <w:t>8. Discusión</w:t>
            </w:r>
            <w:r>
              <w:rPr>
                <w:noProof/>
              </w:rPr>
              <w:tab/>
            </w:r>
            <w:r>
              <w:rPr>
                <w:noProof/>
              </w:rPr>
              <w:fldChar w:fldCharType="begin"/>
            </w:r>
            <w:r>
              <w:rPr>
                <w:noProof/>
              </w:rPr>
              <w:instrText xml:space="preserve"> PAGEREF _Toc242436810 \h </w:instrText>
            </w:r>
            <w:r>
              <w:rPr>
                <w:noProof/>
              </w:rPr>
            </w:r>
            <w:r>
              <w:rPr>
                <w:noProof/>
              </w:rPr>
              <w:fldChar w:fldCharType="separate"/>
            </w:r>
            <w:r>
              <w:rPr>
                <w:noProof/>
              </w:rPr>
              <w:t>12</w:t>
            </w:r>
            <w:r>
              <w:rPr>
                <w:noProof/>
              </w:rPr>
              <w:fldChar w:fldCharType="end"/>
            </w:r>
          </w:hyperlink>
        </w:p>
        <w:p w:rsidR="00DB7D13" w:rsidRDefault="00DB7D13">
          <w:pPr>
            <w:pStyle w:val="TDC1"/>
            <w:tabs>
              <w:tab w:val="right" w:leader="dot" w:pos="9060"/>
            </w:tabs>
            <w:rPr>
              <w:noProof/>
            </w:rPr>
          </w:pPr>
          <w:hyperlink w:anchor="_Toc242436811" w:history="1">
            <w:r w:rsidRPr="000609AE">
              <w:rPr>
                <w:rStyle w:val="Hipervnculo"/>
                <w:noProof/>
              </w:rPr>
              <w:t>9. Limitaciones</w:t>
            </w:r>
            <w:r>
              <w:rPr>
                <w:noProof/>
              </w:rPr>
              <w:tab/>
            </w:r>
            <w:r>
              <w:rPr>
                <w:noProof/>
              </w:rPr>
              <w:fldChar w:fldCharType="begin"/>
            </w:r>
            <w:r>
              <w:rPr>
                <w:noProof/>
              </w:rPr>
              <w:instrText xml:space="preserve"> PAGEREF _Toc242436811 \h </w:instrText>
            </w:r>
            <w:r>
              <w:rPr>
                <w:noProof/>
              </w:rPr>
            </w:r>
            <w:r>
              <w:rPr>
                <w:noProof/>
              </w:rPr>
              <w:fldChar w:fldCharType="separate"/>
            </w:r>
            <w:r>
              <w:rPr>
                <w:noProof/>
              </w:rPr>
              <w:t>13</w:t>
            </w:r>
            <w:r>
              <w:rPr>
                <w:noProof/>
              </w:rPr>
              <w:fldChar w:fldCharType="end"/>
            </w:r>
          </w:hyperlink>
        </w:p>
        <w:p w:rsidR="00DB7D13" w:rsidRDefault="00DB7D13">
          <w:pPr>
            <w:pStyle w:val="TDC1"/>
            <w:tabs>
              <w:tab w:val="right" w:leader="dot" w:pos="9060"/>
            </w:tabs>
            <w:rPr>
              <w:noProof/>
            </w:rPr>
          </w:pPr>
          <w:hyperlink w:anchor="_Toc242436812" w:history="1">
            <w:r w:rsidRPr="000609AE">
              <w:rPr>
                <w:rStyle w:val="Hipervnculo"/>
                <w:noProof/>
              </w:rPr>
              <w:t>10. Conclusiones y trabajo futuro</w:t>
            </w:r>
            <w:r>
              <w:rPr>
                <w:noProof/>
              </w:rPr>
              <w:tab/>
            </w:r>
            <w:r>
              <w:rPr>
                <w:noProof/>
              </w:rPr>
              <w:fldChar w:fldCharType="begin"/>
            </w:r>
            <w:r>
              <w:rPr>
                <w:noProof/>
              </w:rPr>
              <w:instrText xml:space="preserve"> PAGEREF _Toc242436812 \h </w:instrText>
            </w:r>
            <w:r>
              <w:rPr>
                <w:noProof/>
              </w:rPr>
            </w:r>
            <w:r>
              <w:rPr>
                <w:noProof/>
              </w:rPr>
              <w:fldChar w:fldCharType="separate"/>
            </w:r>
            <w:r>
              <w:rPr>
                <w:noProof/>
              </w:rPr>
              <w:t>13</w:t>
            </w:r>
            <w:r>
              <w:rPr>
                <w:noProof/>
              </w:rPr>
              <w:fldChar w:fldCharType="end"/>
            </w:r>
          </w:hyperlink>
        </w:p>
        <w:p w:rsidR="00DB7D13" w:rsidRDefault="00DB7D13">
          <w:pPr>
            <w:pStyle w:val="TDC1"/>
            <w:tabs>
              <w:tab w:val="right" w:leader="dot" w:pos="9060"/>
            </w:tabs>
            <w:rPr>
              <w:noProof/>
            </w:rPr>
          </w:pPr>
          <w:hyperlink w:anchor="_Toc242436813" w:history="1">
            <w:r w:rsidRPr="000609AE">
              <w:rPr>
                <w:rStyle w:val="Hipervnculo"/>
                <w:noProof/>
              </w:rPr>
              <w:t>Referencias</w:t>
            </w:r>
            <w:r>
              <w:rPr>
                <w:noProof/>
              </w:rPr>
              <w:tab/>
            </w:r>
            <w:r>
              <w:rPr>
                <w:noProof/>
              </w:rPr>
              <w:fldChar w:fldCharType="begin"/>
            </w:r>
            <w:r>
              <w:rPr>
                <w:noProof/>
              </w:rPr>
              <w:instrText xml:space="preserve"> PAGEREF _Toc242436813 \h </w:instrText>
            </w:r>
            <w:r>
              <w:rPr>
                <w:noProof/>
              </w:rPr>
            </w:r>
            <w:r>
              <w:rPr>
                <w:noProof/>
              </w:rPr>
              <w:fldChar w:fldCharType="separate"/>
            </w:r>
            <w:r>
              <w:rPr>
                <w:noProof/>
              </w:rPr>
              <w:t>14</w:t>
            </w:r>
            <w:r>
              <w:rPr>
                <w:noProof/>
              </w:rPr>
              <w:fldChar w:fldCharType="end"/>
            </w:r>
          </w:hyperlink>
        </w:p>
        <w:p w:rsidR="00DB7D13" w:rsidRDefault="00DB7D13">
          <w:pPr>
            <w:pStyle w:val="TDC1"/>
            <w:tabs>
              <w:tab w:val="right" w:leader="dot" w:pos="9060"/>
            </w:tabs>
            <w:rPr>
              <w:noProof/>
            </w:rPr>
          </w:pPr>
          <w:hyperlink w:anchor="_Toc242436814" w:history="1">
            <w:r w:rsidRPr="000609AE">
              <w:rPr>
                <w:rStyle w:val="Hipervnculo"/>
                <w:noProof/>
              </w:rPr>
              <w:t>Anexo A. Reproducibilidad</w:t>
            </w:r>
            <w:r>
              <w:rPr>
                <w:noProof/>
              </w:rPr>
              <w:tab/>
            </w:r>
            <w:r>
              <w:rPr>
                <w:noProof/>
              </w:rPr>
              <w:fldChar w:fldCharType="begin"/>
            </w:r>
            <w:r>
              <w:rPr>
                <w:noProof/>
              </w:rPr>
              <w:instrText xml:space="preserve"> PAGEREF _Toc242436814 \h </w:instrText>
            </w:r>
            <w:r>
              <w:rPr>
                <w:noProof/>
              </w:rPr>
            </w:r>
            <w:r>
              <w:rPr>
                <w:noProof/>
              </w:rPr>
              <w:fldChar w:fldCharType="separate"/>
            </w:r>
            <w:r>
              <w:rPr>
                <w:noProof/>
              </w:rPr>
              <w:t>14</w:t>
            </w:r>
            <w:r>
              <w:rPr>
                <w:noProof/>
              </w:rPr>
              <w:fldChar w:fldCharType="end"/>
            </w:r>
          </w:hyperlink>
        </w:p>
        <w:p w:rsidR="00E879B0" w:rsidRDefault="00D91B08">
          <w:r>
            <w:fldChar w:fldCharType="end"/>
          </w:r>
        </w:p>
      </w:sdtContent>
    </w:sdt>
    <w:p w:rsidR="00E879B0" w:rsidRDefault="00D91B08">
      <w:r>
        <w:br w:type="page"/>
      </w:r>
    </w:p>
    <w:p w:rsidR="00E879B0" w:rsidRDefault="00D91B08">
      <w:pPr>
        <w:pStyle w:val="Ttulo1"/>
      </w:pPr>
      <w:bookmarkStart w:id="3" w:name="_Toc242436788"/>
      <w:r>
        <w:lastRenderedPageBreak/>
        <w:t>1. Introducción</w:t>
      </w:r>
      <w:bookmarkEnd w:id="3"/>
    </w:p>
    <w:p w:rsidR="00E879B0" w:rsidRDefault="00D91B08">
      <w:pPr>
        <w:spacing w:after="140" w:line="300" w:lineRule="auto"/>
        <w:jc w:val="both"/>
      </w:pPr>
      <w:r>
        <w:t>Anticipar la dirección de un índice accionario en horizontes cortos es un problema con una relación señal-ruido muy baja: buena parte de la variación diaria de precios no es predecible a partir de la información pública disponible, y la poca estructura que</w:t>
      </w:r>
      <w:r>
        <w:t xml:space="preserve"> existe cambia con el régimen de mercado. Las redes neuronales recurrentes son una opción natural para modelar secuencias, pero su aplicación en finanzas enfrenta riesgos conocidos: fuga de información del futuro (data leakage), no estacionariedad, sobreaj</w:t>
      </w:r>
      <w:r>
        <w:t>uste y probabilidades mal calibradas.</w:t>
      </w:r>
    </w:p>
    <w:p w:rsidR="00E879B0" w:rsidRDefault="00D91B08">
      <w:pPr>
        <w:spacing w:after="140" w:line="300" w:lineRule="auto"/>
        <w:jc w:val="both"/>
      </w:pPr>
      <w:r>
        <w:t>Este último punto es central cuando la salida del modelo se usa para decidir cuánto capital asignar. Un clasificador puede tener una exactitud aceptable y, al mismo tiempo, emitir probabilidades sistemáticamente sobrec</w:t>
      </w:r>
      <w:r>
        <w:t>onfiadas; si esas probabilidades alimentan una regla de dimensionamiento, el error se traduce en exposición excesiva. Por eso este trabajo evalúa los modelos principalmente por la calidad de sus probabilidades y no solo por su capacidad de clasificar.</w:t>
      </w:r>
    </w:p>
    <w:p w:rsidR="00E879B0" w:rsidRDefault="00D91B08">
      <w:pPr>
        <w:spacing w:after="140" w:line="300" w:lineRule="auto"/>
        <w:jc w:val="both"/>
      </w:pPr>
      <w:r>
        <w:t xml:space="preserve">Los </w:t>
      </w:r>
      <w:r>
        <w:t>aportes del trabajo son cuatro:</w:t>
      </w:r>
    </w:p>
    <w:p w:rsidR="00E879B0" w:rsidRDefault="00D91B08">
      <w:pPr>
        <w:pStyle w:val="Prrafodelista"/>
        <w:numPr>
          <w:ilvl w:val="0"/>
          <w:numId w:val="2"/>
        </w:numPr>
        <w:spacing w:after="80" w:line="290" w:lineRule="auto"/>
      </w:pPr>
      <w:r>
        <w:t>una comparación controlada de tres modelos bajo un mismo protocolo de validación temporal;</w:t>
      </w:r>
    </w:p>
    <w:p w:rsidR="00E879B0" w:rsidRDefault="00D91B08">
      <w:pPr>
        <w:pStyle w:val="Prrafodelista"/>
        <w:numPr>
          <w:ilvl w:val="0"/>
          <w:numId w:val="2"/>
        </w:numPr>
        <w:spacing w:after="80" w:line="290" w:lineRule="auto"/>
      </w:pPr>
      <w:r>
        <w:t>una evaluación centrada en la calibración (puntaje de Brier y Brier Skill Score);</w:t>
      </w:r>
    </w:p>
    <w:p w:rsidR="00E879B0" w:rsidRDefault="00D91B08">
      <w:pPr>
        <w:pStyle w:val="Prrafodelista"/>
        <w:numPr>
          <w:ilvl w:val="0"/>
          <w:numId w:val="2"/>
        </w:numPr>
        <w:spacing w:after="80" w:line="290" w:lineRule="auto"/>
      </w:pPr>
      <w:r>
        <w:t>una estimación de la significancia estadística de l</w:t>
      </w:r>
      <w:r>
        <w:t>as diferencias mediante bootstrap por bloques;</w:t>
      </w:r>
    </w:p>
    <w:p w:rsidR="00E879B0" w:rsidRDefault="00D91B08">
      <w:pPr>
        <w:pStyle w:val="Prrafodelista"/>
        <w:numPr>
          <w:ilvl w:val="0"/>
          <w:numId w:val="2"/>
        </w:numPr>
        <w:spacing w:after="80" w:line="290" w:lineRule="auto"/>
      </w:pPr>
      <w:r>
        <w:t>una evaluación económica ilustrativa con retornos diarios reales y costos de transacción.</w:t>
      </w:r>
    </w:p>
    <w:p w:rsidR="00E879B0" w:rsidRDefault="00D91B08">
      <w:pPr>
        <w:pStyle w:val="Ttulo2"/>
      </w:pPr>
      <w:bookmarkStart w:id="4" w:name="_Toc242436789"/>
      <w:r>
        <w:t>1.1 Caso de estudio: AlphaTQ</w:t>
      </w:r>
      <w:bookmarkEnd w:id="4"/>
    </w:p>
    <w:p w:rsidR="00E879B0" w:rsidRDefault="00D91B08">
      <w:pPr>
        <w:spacing w:after="140" w:line="300" w:lineRule="auto"/>
        <w:jc w:val="both"/>
      </w:pPr>
      <w:r>
        <w:t>AlphaTQ es una plataforma de análisis cuantitativo y simulación de carteras desarrollada p</w:t>
      </w:r>
      <w:r>
        <w:t>or uno de los autores. Está organizada en capas funcionales: ingesta y percepción de datos, generación de señales, asignación de cartera, gestión de riesgo, ejecución y monitoreo posterior. No es un estándar de la industria ni el objeto de evaluación de es</w:t>
      </w:r>
      <w:r>
        <w:t>te trabajo: se usa como caso de estudio para darle un destino concreto a la salida del modelo.</w:t>
      </w:r>
    </w:p>
    <w:p w:rsidR="00E879B0" w:rsidRDefault="00D91B08">
      <w:pPr>
        <w:spacing w:after="140" w:line="300" w:lineRule="auto"/>
        <w:jc w:val="both"/>
      </w:pPr>
      <w:r>
        <w:t>La pregunta práctica es si conviene incorporar un modelo recurrente en la capa de percepción de AlphaTQ. Esa capa entregaría una probabilidad de suba que la capa</w:t>
      </w:r>
      <w:r>
        <w:t xml:space="preserve"> de riesgo usaría para decidir el tamaño de la posición; la red nunca emitiría órdenes por sí misma. Por eso importa tanto la calidad de la probabilidad como su capacidad de clasificar.</w:t>
      </w:r>
    </w:p>
    <w:p w:rsidR="00E879B0" w:rsidRDefault="00D91B08">
      <w:pPr>
        <w:pStyle w:val="Ttulo2"/>
      </w:pPr>
      <w:bookmarkStart w:id="5" w:name="_Toc242436790"/>
      <w:r>
        <w:t>1.2 Cambios respecto de la versión anterior</w:t>
      </w:r>
      <w:bookmarkEnd w:id="5"/>
    </w:p>
    <w:p w:rsidR="00E879B0" w:rsidRDefault="00D91B08">
      <w:pPr>
        <w:spacing w:after="140" w:line="300" w:lineRule="auto"/>
        <w:jc w:val="both"/>
      </w:pPr>
      <w:r>
        <w:t>Esta versión incorpora las</w:t>
      </w:r>
      <w:r>
        <w:t xml:space="preserve"> observaciones de la devolución docente sobre la entrega previa. La Tabla 0 resume cada observación y dónde se refleja en el informe.</w:t>
      </w:r>
    </w:p>
    <w:p w:rsidR="00E879B0" w:rsidRDefault="00D91B08">
      <w:pPr>
        <w:keepNext/>
        <w:spacing w:before="200" w:after="80"/>
      </w:pPr>
      <w:r>
        <w:rPr>
          <w:b/>
          <w:bCs/>
          <w:sz w:val="19"/>
          <w:szCs w:val="19"/>
        </w:rPr>
        <w:t>Tabla 0. Observaciones de la devolución y cambios realizados</w:t>
      </w:r>
    </w:p>
    <w:tbl>
      <w:tblPr>
        <w:tblW w:w="907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4570"/>
        <w:gridCol w:w="1400"/>
      </w:tblGrid>
      <w:tr w:rsidR="00E879B0">
        <w:tblPrEx>
          <w:tblCellMar>
            <w:top w:w="0" w:type="dxa"/>
            <w:bottom w:w="0" w:type="dxa"/>
          </w:tblCellMar>
        </w:tblPrEx>
        <w:trPr>
          <w:tblHeader/>
        </w:trPr>
        <w:tc>
          <w:tcPr>
            <w:tcW w:w="310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r>
              <w:rPr>
                <w:b/>
                <w:bCs/>
                <w:color w:val="FFFFFF"/>
                <w:sz w:val="19"/>
                <w:szCs w:val="19"/>
              </w:rPr>
              <w:t>Observación</w:t>
            </w:r>
          </w:p>
        </w:tc>
        <w:tc>
          <w:tcPr>
            <w:tcW w:w="457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r>
              <w:rPr>
                <w:b/>
                <w:bCs/>
                <w:color w:val="FFFFFF"/>
                <w:sz w:val="19"/>
                <w:szCs w:val="19"/>
              </w:rPr>
              <w:t>Cambio realizado</w:t>
            </w:r>
          </w:p>
        </w:tc>
        <w:tc>
          <w:tcPr>
            <w:tcW w:w="140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pPr>
              <w:jc w:val="center"/>
            </w:pPr>
            <w:r>
              <w:rPr>
                <w:b/>
                <w:bCs/>
                <w:color w:val="FFFFFF"/>
                <w:sz w:val="19"/>
                <w:szCs w:val="19"/>
              </w:rPr>
              <w:t>Sección</w:t>
            </w:r>
          </w:p>
        </w:tc>
      </w:tr>
      <w:tr w:rsidR="00E879B0">
        <w:tblPrEx>
          <w:tblCellMar>
            <w:top w:w="0" w:type="dxa"/>
            <w:bottom w:w="0" w:type="dxa"/>
          </w:tblCellMar>
        </w:tblPrEx>
        <w:trPr>
          <w:cantSplit/>
        </w:trPr>
        <w:tc>
          <w:tcPr>
            <w:tcW w:w="31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Faltan título formal y datos de contacto</w:t>
            </w:r>
          </w:p>
        </w:tc>
        <w:tc>
          <w:tcPr>
            <w:tcW w:w="457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Portada con título, asignatura, integrantes y contacto</w:t>
            </w:r>
          </w:p>
        </w:tc>
        <w:tc>
          <w:tcPr>
            <w:tcW w:w="14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Portada</w:t>
            </w:r>
          </w:p>
        </w:tc>
      </w:tr>
      <w:tr w:rsidR="00E879B0">
        <w:tblPrEx>
          <w:tblCellMar>
            <w:top w:w="0" w:type="dxa"/>
            <w:bottom w:w="0" w:type="dxa"/>
          </w:tblCellMar>
        </w:tblPrEx>
        <w:trPr>
          <w:cantSplit/>
        </w:trPr>
        <w:tc>
          <w:tcPr>
            <w:tcW w:w="31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lastRenderedPageBreak/>
              <w:t>Explicar qué es AlphaTQ</w:t>
            </w:r>
          </w:p>
        </w:tc>
        <w:tc>
          <w:tcPr>
            <w:tcW w:w="457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t>Se describe como caso de estudio, no como objeto de evaluación</w:t>
            </w:r>
          </w:p>
        </w:tc>
        <w:tc>
          <w:tcPr>
            <w:tcW w:w="14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1.1</w:t>
            </w:r>
          </w:p>
        </w:tc>
      </w:tr>
      <w:tr w:rsidR="00E879B0">
        <w:tblPrEx>
          <w:tblCellMar>
            <w:top w:w="0" w:type="dxa"/>
            <w:bottom w:w="0" w:type="dxa"/>
          </w:tblCellMar>
        </w:tblPrEx>
        <w:trPr>
          <w:cantSplit/>
        </w:trPr>
        <w:tc>
          <w:tcPr>
            <w:tcW w:w="31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No queda claro qué predice ni con qué horizonte</w:t>
            </w:r>
          </w:p>
        </w:tc>
        <w:tc>
          <w:tcPr>
            <w:tcW w:w="457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Una sola pregunta: signo del retorno de SPY a 5 ruedas con ventanas de 20</w:t>
            </w:r>
          </w:p>
        </w:tc>
        <w:tc>
          <w:tcPr>
            <w:tcW w:w="14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2 y 5.2</w:t>
            </w:r>
          </w:p>
        </w:tc>
      </w:tr>
      <w:tr w:rsidR="00E879B0">
        <w:tblPrEx>
          <w:tblCellMar>
            <w:top w:w="0" w:type="dxa"/>
            <w:bottom w:w="0" w:type="dxa"/>
          </w:tblCellMar>
        </w:tblPrEx>
        <w:trPr>
          <w:cantSplit/>
        </w:trPr>
        <w:tc>
          <w:tcPr>
            <w:tcW w:w="31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t>USO cotiza desde 2006 y HYG desde 2007</w:t>
            </w:r>
          </w:p>
        </w:tc>
        <w:tc>
          <w:tcPr>
            <w:tcW w:w="457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t>El período común empieza en mayo de 2007; sin imputaciones</w:t>
            </w:r>
          </w:p>
        </w:tc>
        <w:tc>
          <w:tcPr>
            <w:tcW w:w="14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4</w:t>
            </w:r>
          </w:p>
        </w:tc>
      </w:tr>
      <w:tr w:rsidR="00E879B0">
        <w:tblPrEx>
          <w:tblCellMar>
            <w:top w:w="0" w:type="dxa"/>
            <w:bottom w:w="0" w:type="dxa"/>
          </w:tblCellMar>
        </w:tblPrEx>
        <w:trPr>
          <w:cantSplit/>
        </w:trPr>
        <w:tc>
          <w:tcPr>
            <w:tcW w:w="31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Trabajar con retornos, no con precios</w:t>
            </w:r>
          </w:p>
        </w:tc>
        <w:tc>
          <w:tcPr>
            <w:tcW w:w="457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78 variables estacionarias; ningún nivel de precio</w:t>
            </w:r>
          </w:p>
        </w:tc>
        <w:tc>
          <w:tcPr>
            <w:tcW w:w="14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5.1</w:t>
            </w:r>
          </w:p>
        </w:tc>
      </w:tr>
      <w:tr w:rsidR="00E879B0">
        <w:tblPrEx>
          <w:tblCellMar>
            <w:top w:w="0" w:type="dxa"/>
            <w:bottom w:w="0" w:type="dxa"/>
          </w:tblCellMar>
        </w:tblPrEx>
        <w:trPr>
          <w:cantSplit/>
        </w:trPr>
        <w:tc>
          <w:tcPr>
            <w:tcW w:w="31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t>Validación walk-forward con escalado solo en entrenamiento</w:t>
            </w:r>
          </w:p>
        </w:tc>
        <w:tc>
          <w:tcPr>
            <w:tcW w:w="457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t>Cuatro bloques con ventana expansiva, purga de 5 ruedas y escalado por bloque</w:t>
            </w:r>
          </w:p>
        </w:tc>
        <w:tc>
          <w:tcPr>
            <w:tcW w:w="14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6.2 y 6.3</w:t>
            </w:r>
          </w:p>
        </w:tc>
      </w:tr>
      <w:tr w:rsidR="00E879B0">
        <w:tblPrEx>
          <w:tblCellMar>
            <w:top w:w="0" w:type="dxa"/>
            <w:bottom w:w="0" w:type="dxa"/>
          </w:tblCellMar>
        </w:tblPrEx>
        <w:trPr>
          <w:cantSplit/>
        </w:trPr>
        <w:tc>
          <w:tcPr>
            <w:tcW w:w="31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Comparar contra regresión logística y línea de base</w:t>
            </w:r>
          </w:p>
        </w:tc>
        <w:tc>
          <w:tcPr>
            <w:tcW w:w="457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Tres modelos bajo el mismo protocolo</w:t>
            </w:r>
          </w:p>
        </w:tc>
        <w:tc>
          <w:tcPr>
            <w:tcW w:w="14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6.1</w:t>
            </w:r>
          </w:p>
        </w:tc>
      </w:tr>
      <w:tr w:rsidR="00E879B0">
        <w:tblPrEx>
          <w:tblCellMar>
            <w:top w:w="0" w:type="dxa"/>
            <w:bottom w:w="0" w:type="dxa"/>
          </w:tblCellMar>
        </w:tblPrEx>
        <w:trPr>
          <w:cantSplit/>
        </w:trPr>
        <w:tc>
          <w:tcPr>
            <w:tcW w:w="31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t>Medir la calibración con el puntaje de Brier</w:t>
            </w:r>
          </w:p>
        </w:tc>
        <w:tc>
          <w:tcPr>
            <w:tcW w:w="457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t>Brier, BSS, diagramas de confiabilidad y bootstrap por bloques</w:t>
            </w:r>
          </w:p>
        </w:tc>
        <w:tc>
          <w:tcPr>
            <w:tcW w:w="14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6.4, 6.5 y 7</w:t>
            </w:r>
          </w:p>
        </w:tc>
      </w:tr>
    </w:tbl>
    <w:p w:rsidR="00E879B0" w:rsidRDefault="00D91B08">
      <w:pPr>
        <w:pStyle w:val="Ttulo1"/>
      </w:pPr>
      <w:bookmarkStart w:id="6" w:name="_Toc242436791"/>
      <w:r>
        <w:t>2. Pregunta de investigación e hipótesis</w:t>
      </w:r>
      <w:bookmarkEnd w:id="6"/>
    </w:p>
    <w:p w:rsidR="00E879B0" w:rsidRDefault="00D91B08">
      <w:pPr>
        <w:pBdr>
          <w:left w:val="single" w:sz="18" w:space="12" w:color="C8962E"/>
        </w:pBdr>
        <w:spacing w:before="120" w:after="200"/>
        <w:ind w:left="567" w:right="567"/>
      </w:pPr>
      <w:r>
        <w:rPr>
          <w:rFonts w:ascii="Cambria" w:eastAsia="Cambria" w:hAnsi="Cambria" w:cs="Cambria"/>
          <w:i/>
          <w:iCs/>
          <w:sz w:val="23"/>
          <w:szCs w:val="23"/>
        </w:rPr>
        <w:t>¿Puede una red neuronal recurrente (GRU) estimar la probabilidad de que el retorno acumulado a cinco ruedas de SPY sea positivo, a partir de ventanas de 20 días, con mejor calibración y discriminación que una regresión logística regularizada y que una líne</w:t>
      </w:r>
      <w:r>
        <w:rPr>
          <w:rFonts w:ascii="Cambria" w:eastAsia="Cambria" w:hAnsi="Cambria" w:cs="Cambria"/>
          <w:i/>
          <w:iCs/>
          <w:sz w:val="23"/>
          <w:szCs w:val="23"/>
        </w:rPr>
        <w:t>a de base ingenua, bajo validación walk-forward?</w:t>
      </w:r>
    </w:p>
    <w:p w:rsidR="00E879B0" w:rsidRDefault="00D91B08">
      <w:pPr>
        <w:spacing w:after="140" w:line="300" w:lineRule="auto"/>
        <w:jc w:val="both"/>
      </w:pPr>
      <w:r>
        <w:rPr>
          <w:b/>
          <w:bCs/>
        </w:rPr>
        <w:t xml:space="preserve">Hipótesis nula (H₀): </w:t>
      </w:r>
      <w:r>
        <w:t>el puntaje de Brier fuera de muestra de la GRU no es menor que el de la regresión logística ni que el de la línea de base ingenua.</w:t>
      </w:r>
    </w:p>
    <w:p w:rsidR="00E879B0" w:rsidRDefault="00D91B08">
      <w:pPr>
        <w:spacing w:after="140" w:line="300" w:lineRule="auto"/>
        <w:jc w:val="both"/>
      </w:pPr>
      <w:r>
        <w:rPr>
          <w:b/>
          <w:bCs/>
        </w:rPr>
        <w:t xml:space="preserve">Hipótesis alternativa (H₁): </w:t>
      </w:r>
      <w:r>
        <w:t>la GRU obtiene un puntaje d</w:t>
      </w:r>
      <w:r>
        <w:t>e Brier menor que ambos modelos de referencia.</w:t>
      </w:r>
    </w:p>
    <w:p w:rsidR="00E879B0" w:rsidRDefault="00D91B08">
      <w:pPr>
        <w:spacing w:after="140" w:line="300" w:lineRule="auto"/>
        <w:jc w:val="both"/>
      </w:pPr>
      <w:r>
        <w:rPr>
          <w:b/>
          <w:bCs/>
        </w:rPr>
        <w:t xml:space="preserve">Criterio de decisión: </w:t>
      </w:r>
      <w:r>
        <w:t>se rechaza H₀ frente a un modelo de referencia si el intervalo de confianza del 95% de la diferencia de Brier (GRU menos referencia), estimado por bootstrap por bloques, queda completamen</w:t>
      </w:r>
      <w:r>
        <w:t>te por debajo de cero. Se aplica el mismo criterio al AUC-ROC como métrica complementaria de discriminación.</w:t>
      </w:r>
    </w:p>
    <w:p w:rsidR="00E879B0" w:rsidRDefault="00D91B08">
      <w:pPr>
        <w:pStyle w:val="Ttulo1"/>
      </w:pPr>
      <w:bookmarkStart w:id="7" w:name="_Toc242436792"/>
      <w:r>
        <w:t>3. Antecedentes</w:t>
      </w:r>
      <w:bookmarkEnd w:id="7"/>
    </w:p>
    <w:p w:rsidR="00E879B0" w:rsidRDefault="00D91B08">
      <w:pPr>
        <w:spacing w:after="140" w:line="300" w:lineRule="auto"/>
        <w:jc w:val="both"/>
      </w:pPr>
      <w:r>
        <w:t>Fischer y Krauss (2018) mostraron que redes LSTM pueden extraer señal direccional diaria en acciones del S&amp;P 500 superando a método</w:t>
      </w:r>
      <w:r>
        <w:t>s sin memoria, aunque con ventajas que se reducen en los períodos más recientes. Las GRU (Cho et al., 2014) simplifican la celda LSTM (Hochreiter y Schmidhuber, 1997) con menos parámetros, lo que resulta conveniente cuando la cantidad de muestras independi</w:t>
      </w:r>
      <w:r>
        <w:t>entes es limitada.</w:t>
      </w:r>
    </w:p>
    <w:p w:rsidR="00E879B0" w:rsidRDefault="00D91B08">
      <w:pPr>
        <w:spacing w:after="140" w:line="300" w:lineRule="auto"/>
        <w:jc w:val="both"/>
      </w:pPr>
      <w:r>
        <w:t>En la evaluación de modelos financieros, López de Prado (2018) documenta cómo el solapamiento de etiquetas genera fuga de información en la validación cruzada y propone la purga de observaciones entre entrenamiento y prueba. Para medir p</w:t>
      </w:r>
      <w:r>
        <w:t xml:space="preserve">robabilidades se utilizan reglas de puntaje propias como el puntaje de Brier (Brier, 1950; Gneiting y Raftery, 2007). Guo et al. (2017) mostraron que las redes </w:t>
      </w:r>
      <w:r>
        <w:lastRenderedPageBreak/>
        <w:t>neuronales modernas tienden a estar mal calibradas, y Müller, Kornblith y Hinton (2019) analizar</w:t>
      </w:r>
      <w:r>
        <w:t>on el efecto del label smoothing sobre la calibración. Para inferencia con datos dependientes se emplea el bootstrap por bloques (Künsch, 1989). La regla de dimensionamiento se basa en el criterio de Kelly (Kelly, 1956).</w:t>
      </w:r>
    </w:p>
    <w:p w:rsidR="00E879B0" w:rsidRDefault="00D91B08">
      <w:pPr>
        <w:pStyle w:val="Ttulo1"/>
      </w:pPr>
      <w:bookmarkStart w:id="8" w:name="_Toc242436793"/>
      <w:r>
        <w:t>4. Datos</w:t>
      </w:r>
      <w:bookmarkEnd w:id="8"/>
    </w:p>
    <w:p w:rsidR="00E879B0" w:rsidRDefault="00D91B08">
      <w:pPr>
        <w:spacing w:after="140" w:line="300" w:lineRule="auto"/>
        <w:jc w:val="both"/>
      </w:pPr>
      <w:r>
        <w:t>Se descargaron precios de cierre ajustados por dividendos y splits y volúmenes diarios mediante la librería yfinance. El universo combina renta variable, renta fija, crédito, materias primas y sectores, más el índice de volatilidad implícita VIX como varia</w:t>
      </w:r>
      <w:r>
        <w:t>ble de régimen.</w:t>
      </w:r>
    </w:p>
    <w:p w:rsidR="00E879B0" w:rsidRDefault="00D91B08">
      <w:pPr>
        <w:keepNext/>
        <w:spacing w:before="200" w:after="80"/>
      </w:pPr>
      <w:r>
        <w:rPr>
          <w:b/>
          <w:bCs/>
          <w:sz w:val="19"/>
          <w:szCs w:val="19"/>
        </w:rPr>
        <w:t>Tabla 1. Universo de activos</w:t>
      </w:r>
    </w:p>
    <w:tbl>
      <w:tblPr>
        <w:tblW w:w="907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500"/>
        <w:gridCol w:w="2470"/>
        <w:gridCol w:w="2000"/>
      </w:tblGrid>
      <w:tr w:rsidR="00E879B0">
        <w:tblPrEx>
          <w:tblCellMar>
            <w:top w:w="0" w:type="dxa"/>
            <w:bottom w:w="0" w:type="dxa"/>
          </w:tblCellMar>
        </w:tblPrEx>
        <w:trPr>
          <w:tblHeader/>
        </w:trPr>
        <w:tc>
          <w:tcPr>
            <w:tcW w:w="110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r>
              <w:rPr>
                <w:b/>
                <w:bCs/>
                <w:color w:val="FFFFFF"/>
                <w:sz w:val="19"/>
                <w:szCs w:val="19"/>
              </w:rPr>
              <w:t>Ticker</w:t>
            </w:r>
          </w:p>
        </w:tc>
        <w:tc>
          <w:tcPr>
            <w:tcW w:w="350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r>
              <w:rPr>
                <w:b/>
                <w:bCs/>
                <w:color w:val="FFFFFF"/>
                <w:sz w:val="19"/>
                <w:szCs w:val="19"/>
              </w:rPr>
              <w:t>Descripción</w:t>
            </w:r>
          </w:p>
        </w:tc>
        <w:tc>
          <w:tcPr>
            <w:tcW w:w="247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r>
              <w:rPr>
                <w:b/>
                <w:bCs/>
                <w:color w:val="FFFFFF"/>
                <w:sz w:val="19"/>
                <w:szCs w:val="19"/>
              </w:rPr>
              <w:t>Clase de activo</w:t>
            </w:r>
          </w:p>
        </w:tc>
        <w:tc>
          <w:tcPr>
            <w:tcW w:w="200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pPr>
              <w:jc w:val="center"/>
            </w:pPr>
            <w:r>
              <w:rPr>
                <w:b/>
                <w:bCs/>
                <w:color w:val="FFFFFF"/>
                <w:sz w:val="19"/>
                <w:szCs w:val="19"/>
              </w:rPr>
              <w:t>Inicio de cotización</w:t>
            </w:r>
          </w:p>
        </w:tc>
      </w:tr>
      <w:tr w:rsidR="00E879B0">
        <w:tblPrEx>
          <w:tblCellMar>
            <w:top w:w="0" w:type="dxa"/>
            <w:bottom w:w="0" w:type="dxa"/>
          </w:tblCellMar>
        </w:tblPrEx>
        <w:trPr>
          <w:cantSplit/>
        </w:trPr>
        <w:tc>
          <w:tcPr>
            <w:tcW w:w="11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SPY</w:t>
            </w:r>
          </w:p>
        </w:tc>
        <w:tc>
          <w:tcPr>
            <w:tcW w:w="35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SPDR S&amp;P 500 ETF (objetivo)</w:t>
            </w:r>
          </w:p>
        </w:tc>
        <w:tc>
          <w:tcPr>
            <w:tcW w:w="247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Renta variable EE.UU.</w:t>
            </w:r>
          </w:p>
        </w:tc>
        <w:tc>
          <w:tcPr>
            <w:tcW w:w="20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1993</w:t>
            </w:r>
          </w:p>
        </w:tc>
      </w:tr>
      <w:tr w:rsidR="00E879B0">
        <w:tblPrEx>
          <w:tblCellMar>
            <w:top w:w="0" w:type="dxa"/>
            <w:bottom w:w="0" w:type="dxa"/>
          </w:tblCellMar>
        </w:tblPrEx>
        <w:trPr>
          <w:cantSplit/>
        </w:trPr>
        <w:tc>
          <w:tcPr>
            <w:tcW w:w="11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t>QQQ</w:t>
            </w:r>
          </w:p>
        </w:tc>
        <w:tc>
          <w:tcPr>
            <w:tcW w:w="35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t>Invesco QQQ (Nasdaq-100)</w:t>
            </w:r>
          </w:p>
        </w:tc>
        <w:tc>
          <w:tcPr>
            <w:tcW w:w="247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t>Renta variable EE.UU.</w:t>
            </w:r>
          </w:p>
        </w:tc>
        <w:tc>
          <w:tcPr>
            <w:tcW w:w="20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1999</w:t>
            </w:r>
          </w:p>
        </w:tc>
      </w:tr>
      <w:tr w:rsidR="00E879B0">
        <w:tblPrEx>
          <w:tblCellMar>
            <w:top w:w="0" w:type="dxa"/>
            <w:bottom w:w="0" w:type="dxa"/>
          </w:tblCellMar>
        </w:tblPrEx>
        <w:trPr>
          <w:cantSplit/>
        </w:trPr>
        <w:tc>
          <w:tcPr>
            <w:tcW w:w="11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IWM</w:t>
            </w:r>
          </w:p>
        </w:tc>
        <w:tc>
          <w:tcPr>
            <w:tcW w:w="35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iShares Russell 2000</w:t>
            </w:r>
          </w:p>
        </w:tc>
        <w:tc>
          <w:tcPr>
            <w:tcW w:w="247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Renta variable EE.UU.</w:t>
            </w:r>
          </w:p>
        </w:tc>
        <w:tc>
          <w:tcPr>
            <w:tcW w:w="20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2000</w:t>
            </w:r>
          </w:p>
        </w:tc>
      </w:tr>
      <w:tr w:rsidR="00E879B0">
        <w:tblPrEx>
          <w:tblCellMar>
            <w:top w:w="0" w:type="dxa"/>
            <w:bottom w:w="0" w:type="dxa"/>
          </w:tblCellMar>
        </w:tblPrEx>
        <w:trPr>
          <w:cantSplit/>
        </w:trPr>
        <w:tc>
          <w:tcPr>
            <w:tcW w:w="11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t>TLT</w:t>
            </w:r>
          </w:p>
        </w:tc>
        <w:tc>
          <w:tcPr>
            <w:tcW w:w="35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t>iShares Treasury 20+ años</w:t>
            </w:r>
          </w:p>
        </w:tc>
        <w:tc>
          <w:tcPr>
            <w:tcW w:w="247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t>Renta fija soberana</w:t>
            </w:r>
          </w:p>
        </w:tc>
        <w:tc>
          <w:tcPr>
            <w:tcW w:w="20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2002</w:t>
            </w:r>
          </w:p>
        </w:tc>
      </w:tr>
      <w:tr w:rsidR="00E879B0">
        <w:tblPrEx>
          <w:tblCellMar>
            <w:top w:w="0" w:type="dxa"/>
            <w:bottom w:w="0" w:type="dxa"/>
          </w:tblCellMar>
        </w:tblPrEx>
        <w:trPr>
          <w:cantSplit/>
        </w:trPr>
        <w:tc>
          <w:tcPr>
            <w:tcW w:w="11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HYG</w:t>
            </w:r>
          </w:p>
        </w:tc>
        <w:tc>
          <w:tcPr>
            <w:tcW w:w="35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iShares iBoxx High Yield</w:t>
            </w:r>
          </w:p>
        </w:tc>
        <w:tc>
          <w:tcPr>
            <w:tcW w:w="247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Crédito corporativo</w:t>
            </w:r>
          </w:p>
        </w:tc>
        <w:tc>
          <w:tcPr>
            <w:tcW w:w="20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abril 2007</w:t>
            </w:r>
          </w:p>
        </w:tc>
      </w:tr>
      <w:tr w:rsidR="00E879B0">
        <w:tblPrEx>
          <w:tblCellMar>
            <w:top w:w="0" w:type="dxa"/>
            <w:bottom w:w="0" w:type="dxa"/>
          </w:tblCellMar>
        </w:tblPrEx>
        <w:trPr>
          <w:cantSplit/>
        </w:trPr>
        <w:tc>
          <w:tcPr>
            <w:tcW w:w="11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t>GLD</w:t>
            </w:r>
          </w:p>
        </w:tc>
        <w:tc>
          <w:tcPr>
            <w:tcW w:w="35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t>SPDR Gold Shares</w:t>
            </w:r>
          </w:p>
        </w:tc>
        <w:tc>
          <w:tcPr>
            <w:tcW w:w="247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t>Materias primas</w:t>
            </w:r>
          </w:p>
        </w:tc>
        <w:tc>
          <w:tcPr>
            <w:tcW w:w="20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2004</w:t>
            </w:r>
          </w:p>
        </w:tc>
      </w:tr>
      <w:tr w:rsidR="00E879B0">
        <w:tblPrEx>
          <w:tblCellMar>
            <w:top w:w="0" w:type="dxa"/>
            <w:bottom w:w="0" w:type="dxa"/>
          </w:tblCellMar>
        </w:tblPrEx>
        <w:trPr>
          <w:cantSplit/>
        </w:trPr>
        <w:tc>
          <w:tcPr>
            <w:tcW w:w="11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USO</w:t>
            </w:r>
          </w:p>
        </w:tc>
        <w:tc>
          <w:tcPr>
            <w:tcW w:w="35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United States Oil Fund</w:t>
            </w:r>
          </w:p>
        </w:tc>
        <w:tc>
          <w:tcPr>
            <w:tcW w:w="247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Materias primas</w:t>
            </w:r>
          </w:p>
        </w:tc>
        <w:tc>
          <w:tcPr>
            <w:tcW w:w="20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abril 2006</w:t>
            </w:r>
          </w:p>
        </w:tc>
      </w:tr>
      <w:tr w:rsidR="00E879B0">
        <w:tblPrEx>
          <w:tblCellMar>
            <w:top w:w="0" w:type="dxa"/>
            <w:bottom w:w="0" w:type="dxa"/>
          </w:tblCellMar>
        </w:tblPrEx>
        <w:trPr>
          <w:cantSplit/>
        </w:trPr>
        <w:tc>
          <w:tcPr>
            <w:tcW w:w="11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t>XLE</w:t>
            </w:r>
          </w:p>
        </w:tc>
        <w:tc>
          <w:tcPr>
            <w:tcW w:w="35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t>Energy Select Sector SPDR</w:t>
            </w:r>
          </w:p>
        </w:tc>
        <w:tc>
          <w:tcPr>
            <w:tcW w:w="247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t>Sector energía</w:t>
            </w:r>
          </w:p>
        </w:tc>
        <w:tc>
          <w:tcPr>
            <w:tcW w:w="20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1998</w:t>
            </w:r>
          </w:p>
        </w:tc>
      </w:tr>
      <w:tr w:rsidR="00E879B0">
        <w:tblPrEx>
          <w:tblCellMar>
            <w:top w:w="0" w:type="dxa"/>
            <w:bottom w:w="0" w:type="dxa"/>
          </w:tblCellMar>
        </w:tblPrEx>
        <w:trPr>
          <w:cantSplit/>
        </w:trPr>
        <w:tc>
          <w:tcPr>
            <w:tcW w:w="11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XLK</w:t>
            </w:r>
          </w:p>
        </w:tc>
        <w:tc>
          <w:tcPr>
            <w:tcW w:w="35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Technology Select Sector SPDR</w:t>
            </w:r>
          </w:p>
        </w:tc>
        <w:tc>
          <w:tcPr>
            <w:tcW w:w="247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Sector tecnología</w:t>
            </w:r>
          </w:p>
        </w:tc>
        <w:tc>
          <w:tcPr>
            <w:tcW w:w="20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1998</w:t>
            </w:r>
          </w:p>
        </w:tc>
      </w:tr>
      <w:tr w:rsidR="00E879B0">
        <w:tblPrEx>
          <w:tblCellMar>
            <w:top w:w="0" w:type="dxa"/>
            <w:bottom w:w="0" w:type="dxa"/>
          </w:tblCellMar>
        </w:tblPrEx>
        <w:trPr>
          <w:cantSplit/>
        </w:trPr>
        <w:tc>
          <w:tcPr>
            <w:tcW w:w="11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t>^VIX</w:t>
            </w:r>
          </w:p>
        </w:tc>
        <w:tc>
          <w:tcPr>
            <w:tcW w:w="35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t>CBOE Volatility Index</w:t>
            </w:r>
          </w:p>
        </w:tc>
        <w:tc>
          <w:tcPr>
            <w:tcW w:w="247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t>Volatilidad implícita</w:t>
            </w:r>
          </w:p>
        </w:tc>
        <w:tc>
          <w:tcPr>
            <w:tcW w:w="20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w:t>
            </w:r>
          </w:p>
        </w:tc>
      </w:tr>
    </w:tbl>
    <w:p w:rsidR="00E879B0" w:rsidRDefault="00D91B08">
      <w:pPr>
        <w:spacing w:before="200" w:after="140" w:line="300" w:lineRule="auto"/>
        <w:jc w:val="both"/>
      </w:pPr>
      <w:r>
        <w:t>El período común comienza el 1 de mayo de 2007, primer mes completo con cotización simultánea de todos los activos (HYG fue el último en listarse). Así se evita imputar valores faltantes y se trabaja con una matriz sincrónica. El conjunto final contiene 4.</w:t>
      </w:r>
      <w:r>
        <w:t>868 observaciones diarias, después de descartar las ventanas iniciales de cálculo y las últimas cinco ruedas, que no tienen retorno futuro.</w:t>
      </w:r>
    </w:p>
    <w:p w:rsidR="00E879B0" w:rsidRDefault="00D91B08">
      <w:pPr>
        <w:pStyle w:val="Ttulo1"/>
      </w:pPr>
      <w:bookmarkStart w:id="9" w:name="_Toc242436794"/>
      <w:r>
        <w:t>5. Variables y objetivo</w:t>
      </w:r>
      <w:bookmarkEnd w:id="9"/>
    </w:p>
    <w:p w:rsidR="00E879B0" w:rsidRDefault="00D91B08">
      <w:pPr>
        <w:pStyle w:val="Ttulo2"/>
      </w:pPr>
      <w:bookmarkStart w:id="10" w:name="_Toc242436795"/>
      <w:r>
        <w:t>5.1 Variables explicativas</w:t>
      </w:r>
      <w:bookmarkEnd w:id="10"/>
    </w:p>
    <w:p w:rsidR="00E879B0" w:rsidRDefault="00D91B08">
      <w:pPr>
        <w:spacing w:after="140" w:line="300" w:lineRule="auto"/>
        <w:jc w:val="both"/>
      </w:pPr>
      <w:r>
        <w:t>Todas las variables son transformaciones estacionarias: retornos,</w:t>
      </w:r>
      <w:r>
        <w:t xml:space="preserve"> volatilidades y razones relativas. No se utilizan niveles de precio, cuya escala cambia a lo largo del período y degrada el entrenamiento.</w:t>
      </w:r>
    </w:p>
    <w:p w:rsidR="00E879B0" w:rsidRDefault="00D91B08">
      <w:pPr>
        <w:keepNext/>
        <w:spacing w:before="200" w:after="80"/>
      </w:pPr>
      <w:r>
        <w:rPr>
          <w:b/>
          <w:bCs/>
          <w:sz w:val="19"/>
          <w:szCs w:val="19"/>
        </w:rPr>
        <w:t>Tabla 2. Variables explicativas (D = 78)</w:t>
      </w:r>
    </w:p>
    <w:tbl>
      <w:tblPr>
        <w:tblW w:w="907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670"/>
        <w:gridCol w:w="1400"/>
      </w:tblGrid>
      <w:tr w:rsidR="00E879B0">
        <w:tblPrEx>
          <w:tblCellMar>
            <w:top w:w="0" w:type="dxa"/>
            <w:bottom w:w="0" w:type="dxa"/>
          </w:tblCellMar>
        </w:tblPrEx>
        <w:trPr>
          <w:tblHeader/>
        </w:trPr>
        <w:tc>
          <w:tcPr>
            <w:tcW w:w="200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r>
              <w:rPr>
                <w:b/>
                <w:bCs/>
                <w:color w:val="FFFFFF"/>
                <w:sz w:val="19"/>
                <w:szCs w:val="19"/>
              </w:rPr>
              <w:t>Grupo</w:t>
            </w:r>
          </w:p>
        </w:tc>
        <w:tc>
          <w:tcPr>
            <w:tcW w:w="567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r>
              <w:rPr>
                <w:b/>
                <w:bCs/>
                <w:color w:val="FFFFFF"/>
                <w:sz w:val="19"/>
                <w:szCs w:val="19"/>
              </w:rPr>
              <w:t>Variables</w:t>
            </w:r>
          </w:p>
        </w:tc>
        <w:tc>
          <w:tcPr>
            <w:tcW w:w="140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pPr>
              <w:jc w:val="center"/>
            </w:pPr>
            <w:r>
              <w:rPr>
                <w:b/>
                <w:bCs/>
                <w:color w:val="FFFFFF"/>
                <w:sz w:val="19"/>
                <w:szCs w:val="19"/>
              </w:rPr>
              <w:t>Cantidad</w:t>
            </w:r>
          </w:p>
        </w:tc>
      </w:tr>
      <w:tr w:rsidR="00E879B0">
        <w:tblPrEx>
          <w:tblCellMar>
            <w:top w:w="0" w:type="dxa"/>
            <w:bottom w:w="0" w:type="dxa"/>
          </w:tblCellMar>
        </w:tblPrEx>
        <w:trPr>
          <w:cantSplit/>
        </w:trPr>
        <w:tc>
          <w:tcPr>
            <w:tcW w:w="20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b/>
                <w:bCs/>
                <w:sz w:val="19"/>
                <w:szCs w:val="19"/>
              </w:rPr>
              <w:t>Por activo (× 9)</w:t>
            </w:r>
          </w:p>
        </w:tc>
        <w:tc>
          <w:tcPr>
            <w:tcW w:w="567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Retorno diario; momentum a 5 y 20 ruedas; volatilidad realizada a 10 y 20 ruedas; distancia a la media móvil de 20; volumen relativo a su media de 20; caída desde el máximo de 20 ruedas</w:t>
            </w:r>
          </w:p>
        </w:tc>
        <w:tc>
          <w:tcPr>
            <w:tcW w:w="14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8 × 9 = 72</w:t>
            </w:r>
          </w:p>
        </w:tc>
      </w:tr>
      <w:tr w:rsidR="00E879B0">
        <w:tblPrEx>
          <w:tblCellMar>
            <w:top w:w="0" w:type="dxa"/>
            <w:bottom w:w="0" w:type="dxa"/>
          </w:tblCellMar>
        </w:tblPrEx>
        <w:trPr>
          <w:cantSplit/>
        </w:trPr>
        <w:tc>
          <w:tcPr>
            <w:tcW w:w="20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b/>
                <w:bCs/>
                <w:sz w:val="19"/>
                <w:szCs w:val="19"/>
              </w:rPr>
              <w:lastRenderedPageBreak/>
              <w:t>Transversales</w:t>
            </w:r>
          </w:p>
        </w:tc>
        <w:tc>
          <w:tcPr>
            <w:tcW w:w="567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t>Media y desvío de los retornos diarios del universo; proporción de activos con retorno positivo</w:t>
            </w:r>
          </w:p>
        </w:tc>
        <w:tc>
          <w:tcPr>
            <w:tcW w:w="14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3</w:t>
            </w:r>
          </w:p>
        </w:tc>
      </w:tr>
      <w:tr w:rsidR="00E879B0">
        <w:tblPrEx>
          <w:tblCellMar>
            <w:top w:w="0" w:type="dxa"/>
            <w:bottom w:w="0" w:type="dxa"/>
          </w:tblCellMar>
        </w:tblPrEx>
        <w:trPr>
          <w:cantSplit/>
        </w:trPr>
        <w:tc>
          <w:tcPr>
            <w:tcW w:w="20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b/>
                <w:bCs/>
                <w:sz w:val="19"/>
                <w:szCs w:val="19"/>
              </w:rPr>
              <w:t>Volatilidad implícita</w:t>
            </w:r>
          </w:p>
        </w:tc>
        <w:tc>
          <w:tcPr>
            <w:tcW w:w="567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Variación diaria del VIX; z-score del VIX a 20 ruedas; razón entre VIX y volatilidad realizada anualizada de SPY</w:t>
            </w:r>
          </w:p>
        </w:tc>
        <w:tc>
          <w:tcPr>
            <w:tcW w:w="14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3</w:t>
            </w:r>
          </w:p>
        </w:tc>
      </w:tr>
      <w:tr w:rsidR="00E879B0">
        <w:tblPrEx>
          <w:tblCellMar>
            <w:top w:w="0" w:type="dxa"/>
            <w:bottom w:w="0" w:type="dxa"/>
          </w:tblCellMar>
        </w:tblPrEx>
        <w:trPr>
          <w:cantSplit/>
        </w:trPr>
        <w:tc>
          <w:tcPr>
            <w:tcW w:w="20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b/>
                <w:bCs/>
                <w:sz w:val="19"/>
                <w:szCs w:val="19"/>
              </w:rPr>
              <w:t>Total</w:t>
            </w:r>
          </w:p>
        </w:tc>
        <w:tc>
          <w:tcPr>
            <w:tcW w:w="567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E879B0"/>
        </w:tc>
        <w:tc>
          <w:tcPr>
            <w:tcW w:w="14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78</w:t>
            </w:r>
          </w:p>
        </w:tc>
      </w:tr>
    </w:tbl>
    <w:p w:rsidR="00E879B0" w:rsidRDefault="00D91B08">
      <w:pPr>
        <w:pStyle w:val="Ttulo2"/>
      </w:pPr>
      <w:bookmarkStart w:id="11" w:name="_Toc242436796"/>
      <w:r>
        <w:t>5.2 Variable objetivo</w:t>
      </w:r>
      <w:bookmarkEnd w:id="11"/>
    </w:p>
    <w:p w:rsidR="00E879B0" w:rsidRDefault="00D91B08">
      <w:pPr>
        <w:spacing w:after="140" w:line="300" w:lineRule="auto"/>
        <w:jc w:val="both"/>
      </w:pPr>
      <w:r>
        <w:t>El objetivo es binario: indica si el retorno simple de SPY entre el cierre de t y el cierre de t + 5 es positivo.</w:t>
      </w:r>
    </w:p>
    <w:p w:rsidR="00E879B0" w:rsidRDefault="00D91B08">
      <w:pPr>
        <w:spacing w:before="80" w:after="160"/>
        <w:jc w:val="center"/>
      </w:pPr>
      <w:r>
        <w:rPr>
          <w:rFonts w:ascii="Cambria Math" w:eastAsia="Cambria Math" w:hAnsi="Cambria Math" w:cs="Cambria Math"/>
          <w:i/>
          <w:iCs/>
          <w:sz w:val="23"/>
          <w:szCs w:val="23"/>
        </w:rPr>
        <w:t>yₜ = 1  si  (Pₜ₊₅ − Pₜ) / Pₜ &gt; 0;     yₜ = 0  en otro caso</w:t>
      </w:r>
    </w:p>
    <w:p w:rsidR="00E879B0" w:rsidRDefault="00D91B08">
      <w:pPr>
        <w:spacing w:after="140" w:line="300" w:lineRule="auto"/>
        <w:jc w:val="both"/>
      </w:pPr>
      <w:r>
        <w:t xml:space="preserve">La frecuencia de subas en todo el período fue de 59,8%. Esta </w:t>
      </w:r>
      <w:r>
        <w:t>asimetría es la razón por la que una línea de base que predice siempre esa frecuencia es un rival exigente.</w:t>
      </w:r>
    </w:p>
    <w:p w:rsidR="00E879B0" w:rsidRDefault="00D91B08">
      <w:pPr>
        <w:pStyle w:val="Ttulo1"/>
      </w:pPr>
      <w:bookmarkStart w:id="12" w:name="_Toc242436797"/>
      <w:r>
        <w:t>6. Metodología</w:t>
      </w:r>
      <w:bookmarkEnd w:id="12"/>
    </w:p>
    <w:p w:rsidR="00E879B0" w:rsidRDefault="00D91B08">
      <w:pPr>
        <w:pStyle w:val="Ttulo2"/>
      </w:pPr>
      <w:bookmarkStart w:id="13" w:name="_Toc242436798"/>
      <w:r>
        <w:t>6.1 Modelos comparados</w:t>
      </w:r>
      <w:bookmarkEnd w:id="13"/>
    </w:p>
    <w:p w:rsidR="00E879B0" w:rsidRDefault="00D91B08">
      <w:pPr>
        <w:spacing w:after="140" w:line="300" w:lineRule="auto"/>
        <w:jc w:val="both"/>
      </w:pPr>
      <w:r>
        <w:rPr>
          <w:b/>
          <w:bCs/>
        </w:rPr>
        <w:t xml:space="preserve">Línea de base ingenua. </w:t>
      </w:r>
      <w:r>
        <w:t>Predice para todas las observaciones de prueba la frecuencia de subas observada en el e</w:t>
      </w:r>
      <w:r>
        <w:t>ntrenamiento del mismo bloque. No usa variables y define el piso que un modelo debe superar para aportar información.</w:t>
      </w:r>
    </w:p>
    <w:p w:rsidR="00E879B0" w:rsidRDefault="00D91B08">
      <w:pPr>
        <w:spacing w:after="140" w:line="300" w:lineRule="auto"/>
        <w:jc w:val="both"/>
      </w:pPr>
      <w:r>
        <w:rPr>
          <w:b/>
          <w:bCs/>
        </w:rPr>
        <w:t xml:space="preserve">Regresión logística. </w:t>
      </w:r>
      <w:r>
        <w:t>Modelo lineal con regularización L2 (C = 0,5) sobre las 78 variables del día t, estandarizadas con los parámetros del</w:t>
      </w:r>
      <w:r>
        <w:t xml:space="preserve"> entrenamiento.</w:t>
      </w:r>
    </w:p>
    <w:p w:rsidR="00E879B0" w:rsidRDefault="00D91B08">
      <w:pPr>
        <w:spacing w:after="140" w:line="300" w:lineRule="auto"/>
        <w:jc w:val="both"/>
      </w:pPr>
      <w:r>
        <w:rPr>
          <w:b/>
          <w:bCs/>
        </w:rPr>
        <w:t xml:space="preserve">GRU. </w:t>
      </w:r>
      <w:r>
        <w:t>Red recurrente que recibe la secuencia de las últimas 20 ruedas de las 78 variables. Su diseño prioriza la regularización, dado el bajo número de muestras independientes (las etiquetas a cinco ruedas se solapan).</w:t>
      </w:r>
    </w:p>
    <w:p w:rsidR="00E879B0" w:rsidRDefault="00D91B08">
      <w:pPr>
        <w:keepNext/>
        <w:spacing w:before="200" w:after="80"/>
      </w:pPr>
      <w:r>
        <w:rPr>
          <w:b/>
          <w:bCs/>
          <w:sz w:val="19"/>
          <w:szCs w:val="19"/>
        </w:rPr>
        <w:t xml:space="preserve">Tabla 3. Arquitectura </w:t>
      </w:r>
      <w:r>
        <w:rPr>
          <w:b/>
          <w:bCs/>
          <w:sz w:val="19"/>
          <w:szCs w:val="19"/>
        </w:rPr>
        <w:t>de la GRU</w:t>
      </w:r>
    </w:p>
    <w:tbl>
      <w:tblPr>
        <w:tblW w:w="907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70"/>
        <w:gridCol w:w="1500"/>
        <w:gridCol w:w="1700"/>
      </w:tblGrid>
      <w:tr w:rsidR="00E879B0">
        <w:tblPrEx>
          <w:tblCellMar>
            <w:top w:w="0" w:type="dxa"/>
            <w:bottom w:w="0" w:type="dxa"/>
          </w:tblCellMar>
        </w:tblPrEx>
        <w:trPr>
          <w:tblHeader/>
        </w:trPr>
        <w:tc>
          <w:tcPr>
            <w:tcW w:w="200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r>
              <w:rPr>
                <w:b/>
                <w:bCs/>
                <w:color w:val="FFFFFF"/>
                <w:sz w:val="19"/>
                <w:szCs w:val="19"/>
              </w:rPr>
              <w:t>Capa</w:t>
            </w:r>
          </w:p>
        </w:tc>
        <w:tc>
          <w:tcPr>
            <w:tcW w:w="387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r>
              <w:rPr>
                <w:b/>
                <w:bCs/>
                <w:color w:val="FFFFFF"/>
                <w:sz w:val="19"/>
                <w:szCs w:val="19"/>
              </w:rPr>
              <w:t>Configuración</w:t>
            </w:r>
          </w:p>
        </w:tc>
        <w:tc>
          <w:tcPr>
            <w:tcW w:w="150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pPr>
              <w:jc w:val="center"/>
            </w:pPr>
            <w:r>
              <w:rPr>
                <w:b/>
                <w:bCs/>
                <w:color w:val="FFFFFF"/>
                <w:sz w:val="19"/>
                <w:szCs w:val="19"/>
              </w:rPr>
              <w:t>Salida</w:t>
            </w:r>
          </w:p>
        </w:tc>
        <w:tc>
          <w:tcPr>
            <w:tcW w:w="170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pPr>
              <w:jc w:val="center"/>
            </w:pPr>
            <w:r>
              <w:rPr>
                <w:b/>
                <w:bCs/>
                <w:color w:val="FFFFFF"/>
                <w:sz w:val="19"/>
                <w:szCs w:val="19"/>
              </w:rPr>
              <w:t>Parámetros</w:t>
            </w:r>
          </w:p>
        </w:tc>
      </w:tr>
      <w:tr w:rsidR="00E879B0">
        <w:tblPrEx>
          <w:tblCellMar>
            <w:top w:w="0" w:type="dxa"/>
            <w:bottom w:w="0" w:type="dxa"/>
          </w:tblCellMar>
        </w:tblPrEx>
        <w:trPr>
          <w:cantSplit/>
        </w:trPr>
        <w:tc>
          <w:tcPr>
            <w:tcW w:w="20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b/>
                <w:bCs/>
                <w:sz w:val="19"/>
                <w:szCs w:val="19"/>
              </w:rPr>
              <w:t>Entrada</w:t>
            </w:r>
          </w:p>
        </w:tc>
        <w:tc>
          <w:tcPr>
            <w:tcW w:w="387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Secuencia de 20 ruedas × 78 variables</w:t>
            </w:r>
          </w:p>
        </w:tc>
        <w:tc>
          <w:tcPr>
            <w:tcW w:w="15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(20, 78)</w:t>
            </w:r>
          </w:p>
        </w:tc>
        <w:tc>
          <w:tcPr>
            <w:tcW w:w="17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0</w:t>
            </w:r>
          </w:p>
        </w:tc>
      </w:tr>
      <w:tr w:rsidR="00E879B0">
        <w:tblPrEx>
          <w:tblCellMar>
            <w:top w:w="0" w:type="dxa"/>
            <w:bottom w:w="0" w:type="dxa"/>
          </w:tblCellMar>
        </w:tblPrEx>
        <w:trPr>
          <w:cantSplit/>
        </w:trPr>
        <w:tc>
          <w:tcPr>
            <w:tcW w:w="20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b/>
                <w:bCs/>
                <w:sz w:val="19"/>
                <w:szCs w:val="19"/>
              </w:rPr>
              <w:t>Ruido gaussiano</w:t>
            </w:r>
          </w:p>
        </w:tc>
        <w:tc>
          <w:tcPr>
            <w:tcW w:w="387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t>σ = 0,04 (solo en entrenamiento)</w:t>
            </w:r>
          </w:p>
        </w:tc>
        <w:tc>
          <w:tcPr>
            <w:tcW w:w="15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(20, 78)</w:t>
            </w:r>
          </w:p>
        </w:tc>
        <w:tc>
          <w:tcPr>
            <w:tcW w:w="17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0</w:t>
            </w:r>
          </w:p>
        </w:tc>
      </w:tr>
      <w:tr w:rsidR="00E879B0">
        <w:tblPrEx>
          <w:tblCellMar>
            <w:top w:w="0" w:type="dxa"/>
            <w:bottom w:w="0" w:type="dxa"/>
          </w:tblCellMar>
        </w:tblPrEx>
        <w:trPr>
          <w:cantSplit/>
        </w:trPr>
        <w:tc>
          <w:tcPr>
            <w:tcW w:w="20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b/>
                <w:bCs/>
                <w:sz w:val="19"/>
                <w:szCs w:val="19"/>
              </w:rPr>
              <w:t>GRU</w:t>
            </w:r>
          </w:p>
        </w:tc>
        <w:tc>
          <w:tcPr>
            <w:tcW w:w="387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32 unidades, L2 = 10⁻³, dropout 0,30</w:t>
            </w:r>
          </w:p>
        </w:tc>
        <w:tc>
          <w:tcPr>
            <w:tcW w:w="15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(32)</w:t>
            </w:r>
          </w:p>
        </w:tc>
        <w:tc>
          <w:tcPr>
            <w:tcW w:w="17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10.752</w:t>
            </w:r>
          </w:p>
        </w:tc>
      </w:tr>
      <w:tr w:rsidR="00E879B0">
        <w:tblPrEx>
          <w:tblCellMar>
            <w:top w:w="0" w:type="dxa"/>
            <w:bottom w:w="0" w:type="dxa"/>
          </w:tblCellMar>
        </w:tblPrEx>
        <w:trPr>
          <w:cantSplit/>
        </w:trPr>
        <w:tc>
          <w:tcPr>
            <w:tcW w:w="20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b/>
                <w:bCs/>
                <w:sz w:val="19"/>
                <w:szCs w:val="19"/>
              </w:rPr>
              <w:t>Densa</w:t>
            </w:r>
          </w:p>
        </w:tc>
        <w:tc>
          <w:tcPr>
            <w:tcW w:w="387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t>24 unidades, ReLU, L2 = 10⁻³</w:t>
            </w:r>
          </w:p>
        </w:tc>
        <w:tc>
          <w:tcPr>
            <w:tcW w:w="15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(24)</w:t>
            </w:r>
          </w:p>
        </w:tc>
        <w:tc>
          <w:tcPr>
            <w:tcW w:w="17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792</w:t>
            </w:r>
          </w:p>
        </w:tc>
      </w:tr>
      <w:tr w:rsidR="00E879B0">
        <w:tblPrEx>
          <w:tblCellMar>
            <w:top w:w="0" w:type="dxa"/>
            <w:bottom w:w="0" w:type="dxa"/>
          </w:tblCellMar>
        </w:tblPrEx>
        <w:trPr>
          <w:cantSplit/>
        </w:trPr>
        <w:tc>
          <w:tcPr>
            <w:tcW w:w="20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b/>
                <w:bCs/>
                <w:sz w:val="19"/>
                <w:szCs w:val="19"/>
              </w:rPr>
              <w:t>Densa lineal</w:t>
            </w:r>
          </w:p>
        </w:tc>
        <w:tc>
          <w:tcPr>
            <w:tcW w:w="387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16 unidades (representación z_t)</w:t>
            </w:r>
          </w:p>
        </w:tc>
        <w:tc>
          <w:tcPr>
            <w:tcW w:w="15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(16)</w:t>
            </w:r>
          </w:p>
        </w:tc>
        <w:tc>
          <w:tcPr>
            <w:tcW w:w="17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400</w:t>
            </w:r>
          </w:p>
        </w:tc>
      </w:tr>
      <w:tr w:rsidR="00E879B0">
        <w:tblPrEx>
          <w:tblCellMar>
            <w:top w:w="0" w:type="dxa"/>
            <w:bottom w:w="0" w:type="dxa"/>
          </w:tblCellMar>
        </w:tblPrEx>
        <w:trPr>
          <w:cantSplit/>
        </w:trPr>
        <w:tc>
          <w:tcPr>
            <w:tcW w:w="20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b/>
                <w:bCs/>
                <w:sz w:val="19"/>
                <w:szCs w:val="19"/>
              </w:rPr>
              <w:t>Normalización y dropout</w:t>
            </w:r>
          </w:p>
        </w:tc>
        <w:tc>
          <w:tcPr>
            <w:tcW w:w="387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t>LayerNormalization; dropout 0,25</w:t>
            </w:r>
          </w:p>
        </w:tc>
        <w:tc>
          <w:tcPr>
            <w:tcW w:w="15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(16)</w:t>
            </w:r>
          </w:p>
        </w:tc>
        <w:tc>
          <w:tcPr>
            <w:tcW w:w="17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32</w:t>
            </w:r>
          </w:p>
        </w:tc>
      </w:tr>
      <w:tr w:rsidR="00E879B0">
        <w:tblPrEx>
          <w:tblCellMar>
            <w:top w:w="0" w:type="dxa"/>
            <w:bottom w:w="0" w:type="dxa"/>
          </w:tblCellMar>
        </w:tblPrEx>
        <w:trPr>
          <w:cantSplit/>
        </w:trPr>
        <w:tc>
          <w:tcPr>
            <w:tcW w:w="20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b/>
                <w:bCs/>
                <w:sz w:val="19"/>
                <w:szCs w:val="19"/>
              </w:rPr>
              <w:t>Salida</w:t>
            </w:r>
          </w:p>
        </w:tc>
        <w:tc>
          <w:tcPr>
            <w:tcW w:w="387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1 unidad sigmoide (probabilidad p_t)</w:t>
            </w:r>
          </w:p>
        </w:tc>
        <w:tc>
          <w:tcPr>
            <w:tcW w:w="15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(1)</w:t>
            </w:r>
          </w:p>
        </w:tc>
        <w:tc>
          <w:tcPr>
            <w:tcW w:w="17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17</w:t>
            </w:r>
          </w:p>
        </w:tc>
      </w:tr>
      <w:tr w:rsidR="00E879B0">
        <w:tblPrEx>
          <w:tblCellMar>
            <w:top w:w="0" w:type="dxa"/>
            <w:bottom w:w="0" w:type="dxa"/>
          </w:tblCellMar>
        </w:tblPrEx>
        <w:trPr>
          <w:cantSplit/>
        </w:trPr>
        <w:tc>
          <w:tcPr>
            <w:tcW w:w="20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b/>
                <w:bCs/>
                <w:sz w:val="19"/>
                <w:szCs w:val="19"/>
              </w:rPr>
              <w:t>Total</w:t>
            </w:r>
          </w:p>
        </w:tc>
        <w:tc>
          <w:tcPr>
            <w:tcW w:w="387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E879B0"/>
        </w:tc>
        <w:tc>
          <w:tcPr>
            <w:tcW w:w="15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E879B0">
            <w:pPr>
              <w:jc w:val="center"/>
            </w:pPr>
          </w:p>
        </w:tc>
        <w:tc>
          <w:tcPr>
            <w:tcW w:w="17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11.993</w:t>
            </w:r>
          </w:p>
        </w:tc>
      </w:tr>
    </w:tbl>
    <w:p w:rsidR="00E879B0" w:rsidRDefault="00D91B08">
      <w:pPr>
        <w:spacing w:before="200" w:after="140" w:line="300" w:lineRule="auto"/>
        <w:jc w:val="both"/>
      </w:pPr>
      <w:r>
        <w:lastRenderedPageBreak/>
        <w:t>Se entrena con Adam (tasa de aprendizaje 1,5 × 10⁻⁴), lotes de 128, entropía cruzada binaria con label smoothing de 0,08 y un máximo de 10 épocas. La parada temprana monitorea la pérdida en el último 15% del entrenamiento (paciencia 2, restaurando los mejo</w:t>
      </w:r>
      <w:r>
        <w:t>res pesos), separado del resto por cinco observaciones para evitar solapamiento de etiquetas. La semilla es 42 y se activan las operaciones deterministas de TensorFlow.</w:t>
      </w:r>
    </w:p>
    <w:p w:rsidR="00E879B0" w:rsidRDefault="00D91B08">
      <w:pPr>
        <w:pStyle w:val="Ttulo2"/>
      </w:pPr>
      <w:bookmarkStart w:id="14" w:name="_Toc242436799"/>
      <w:r>
        <w:t>6.2 Validación walk-forward</w:t>
      </w:r>
      <w:bookmarkEnd w:id="14"/>
    </w:p>
    <w:p w:rsidR="00E879B0" w:rsidRDefault="00D91B08">
      <w:pPr>
        <w:spacing w:after="140" w:line="300" w:lineRule="auto"/>
        <w:jc w:val="both"/>
      </w:pPr>
      <w:r>
        <w:t>Se usa una ventana de entrenamiento expansiva y cuatro bloq</w:t>
      </w:r>
      <w:r>
        <w:t>ues de prueba consecutivos que cubren regímenes distintos: normalización de tasas (2016–2018), pandemia (2019–2021), ciclo inflacionario (2022–2024) y el período reciente (2025–2026). En cada bloque se reentrenan los tres modelos desde cero.</w:t>
      </w:r>
    </w:p>
    <w:p w:rsidR="00E879B0" w:rsidRDefault="00D91B08">
      <w:pPr>
        <w:keepNext/>
        <w:spacing w:before="120" w:after="60"/>
        <w:jc w:val="center"/>
      </w:pPr>
      <w:r>
        <w:rPr>
          <w:noProof/>
        </w:rPr>
        <w:drawing>
          <wp:inline distT="0" distB="0" distL="0" distR="0">
            <wp:extent cx="5762625" cy="2076450"/>
            <wp:effectExtent l="0" t="0" r="0" b="0"/>
            <wp:docPr id="1" name="fig_walkforward.png" descr="fig_walkforward.png" title="fig_walk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2076450"/>
                    </a:xfrm>
                    <a:prstGeom prst="rect">
                      <a:avLst/>
                    </a:prstGeom>
                  </pic:spPr>
                </pic:pic>
              </a:graphicData>
            </a:graphic>
          </wp:inline>
        </w:drawing>
      </w:r>
    </w:p>
    <w:p w:rsidR="00E879B0" w:rsidRDefault="00D91B08">
      <w:pPr>
        <w:spacing w:before="60" w:after="240"/>
        <w:jc w:val="center"/>
      </w:pPr>
      <w:r>
        <w:rPr>
          <w:i/>
          <w:iCs/>
          <w:color w:val="6B7280"/>
          <w:sz w:val="19"/>
          <w:szCs w:val="19"/>
        </w:rPr>
        <w:t>Figura 1. Es</w:t>
      </w:r>
      <w:r>
        <w:rPr>
          <w:i/>
          <w:iCs/>
          <w:color w:val="6B7280"/>
          <w:sz w:val="19"/>
          <w:szCs w:val="19"/>
        </w:rPr>
        <w:t>quema de validación walk-forward con ventana expansiva.</w:t>
      </w:r>
    </w:p>
    <w:p w:rsidR="00E879B0" w:rsidRDefault="00D91B08">
      <w:pPr>
        <w:keepNext/>
        <w:spacing w:before="200" w:after="80"/>
      </w:pPr>
      <w:r>
        <w:rPr>
          <w:b/>
          <w:bCs/>
          <w:sz w:val="19"/>
          <w:szCs w:val="19"/>
        </w:rPr>
        <w:t>Tabla 4. Bloques de validación</w:t>
      </w:r>
    </w:p>
    <w:tbl>
      <w:tblPr>
        <w:tblW w:w="907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370"/>
        <w:gridCol w:w="2000"/>
        <w:gridCol w:w="1700"/>
        <w:gridCol w:w="1700"/>
      </w:tblGrid>
      <w:tr w:rsidR="00E879B0">
        <w:tblPrEx>
          <w:tblCellMar>
            <w:top w:w="0" w:type="dxa"/>
            <w:bottom w:w="0" w:type="dxa"/>
          </w:tblCellMar>
        </w:tblPrEx>
        <w:trPr>
          <w:tblHeader/>
        </w:trPr>
        <w:tc>
          <w:tcPr>
            <w:tcW w:w="130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r>
              <w:rPr>
                <w:b/>
                <w:bCs/>
                <w:color w:val="FFFFFF"/>
                <w:sz w:val="19"/>
                <w:szCs w:val="19"/>
              </w:rPr>
              <w:t>Bloque</w:t>
            </w:r>
          </w:p>
        </w:tc>
        <w:tc>
          <w:tcPr>
            <w:tcW w:w="237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pPr>
              <w:jc w:val="center"/>
            </w:pPr>
            <w:r>
              <w:rPr>
                <w:b/>
                <w:bCs/>
                <w:color w:val="FFFFFF"/>
                <w:sz w:val="19"/>
                <w:szCs w:val="19"/>
              </w:rPr>
              <w:t>Entrenamiento</w:t>
            </w:r>
          </w:p>
        </w:tc>
        <w:tc>
          <w:tcPr>
            <w:tcW w:w="200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pPr>
              <w:jc w:val="center"/>
            </w:pPr>
            <w:r>
              <w:rPr>
                <w:b/>
                <w:bCs/>
                <w:color w:val="FFFFFF"/>
                <w:sz w:val="19"/>
                <w:szCs w:val="19"/>
              </w:rPr>
              <w:t>Prueba</w:t>
            </w:r>
          </w:p>
        </w:tc>
        <w:tc>
          <w:tcPr>
            <w:tcW w:w="170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pPr>
              <w:jc w:val="center"/>
            </w:pPr>
            <w:r>
              <w:rPr>
                <w:b/>
                <w:bCs/>
                <w:color w:val="FFFFFF"/>
                <w:sz w:val="19"/>
                <w:szCs w:val="19"/>
              </w:rPr>
              <w:t>N entrenamiento</w:t>
            </w:r>
          </w:p>
        </w:tc>
        <w:tc>
          <w:tcPr>
            <w:tcW w:w="170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pPr>
              <w:jc w:val="center"/>
            </w:pPr>
            <w:r>
              <w:rPr>
                <w:b/>
                <w:bCs/>
                <w:color w:val="FFFFFF"/>
                <w:sz w:val="19"/>
                <w:szCs w:val="19"/>
              </w:rPr>
              <w:t>N prueba</w:t>
            </w:r>
          </w:p>
        </w:tc>
      </w:tr>
      <w:tr w:rsidR="00E879B0">
        <w:tblPrEx>
          <w:tblCellMar>
            <w:top w:w="0" w:type="dxa"/>
            <w:bottom w:w="0" w:type="dxa"/>
          </w:tblCellMar>
        </w:tblPrEx>
        <w:trPr>
          <w:cantSplit/>
        </w:trPr>
        <w:tc>
          <w:tcPr>
            <w:tcW w:w="13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Fold 1</w:t>
            </w:r>
          </w:p>
        </w:tc>
        <w:tc>
          <w:tcPr>
            <w:tcW w:w="237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may-2007 a dic-2015</w:t>
            </w:r>
          </w:p>
        </w:tc>
        <w:tc>
          <w:tcPr>
            <w:tcW w:w="20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2016 a 2018</w:t>
            </w:r>
          </w:p>
        </w:tc>
        <w:tc>
          <w:tcPr>
            <w:tcW w:w="17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2.160</w:t>
            </w:r>
          </w:p>
        </w:tc>
        <w:tc>
          <w:tcPr>
            <w:tcW w:w="17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754</w:t>
            </w:r>
          </w:p>
        </w:tc>
      </w:tr>
      <w:tr w:rsidR="00E879B0">
        <w:tblPrEx>
          <w:tblCellMar>
            <w:top w:w="0" w:type="dxa"/>
            <w:bottom w:w="0" w:type="dxa"/>
          </w:tblCellMar>
        </w:tblPrEx>
        <w:trPr>
          <w:cantSplit/>
        </w:trPr>
        <w:tc>
          <w:tcPr>
            <w:tcW w:w="13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t>Fold 2</w:t>
            </w:r>
          </w:p>
        </w:tc>
        <w:tc>
          <w:tcPr>
            <w:tcW w:w="237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may-2007 a dic-2018</w:t>
            </w:r>
          </w:p>
        </w:tc>
        <w:tc>
          <w:tcPr>
            <w:tcW w:w="20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2019 a 2021</w:t>
            </w:r>
          </w:p>
        </w:tc>
        <w:tc>
          <w:tcPr>
            <w:tcW w:w="17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2.914</w:t>
            </w:r>
          </w:p>
        </w:tc>
        <w:tc>
          <w:tcPr>
            <w:tcW w:w="17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757</w:t>
            </w:r>
          </w:p>
        </w:tc>
      </w:tr>
      <w:tr w:rsidR="00E879B0">
        <w:tblPrEx>
          <w:tblCellMar>
            <w:top w:w="0" w:type="dxa"/>
            <w:bottom w:w="0" w:type="dxa"/>
          </w:tblCellMar>
        </w:tblPrEx>
        <w:trPr>
          <w:cantSplit/>
        </w:trPr>
        <w:tc>
          <w:tcPr>
            <w:tcW w:w="13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Fold 3</w:t>
            </w:r>
          </w:p>
        </w:tc>
        <w:tc>
          <w:tcPr>
            <w:tcW w:w="237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may-2007 a dic-2021</w:t>
            </w:r>
          </w:p>
        </w:tc>
        <w:tc>
          <w:tcPr>
            <w:tcW w:w="20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2022 a 2024</w:t>
            </w:r>
          </w:p>
        </w:tc>
        <w:tc>
          <w:tcPr>
            <w:tcW w:w="17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3.671</w:t>
            </w:r>
          </w:p>
        </w:tc>
        <w:tc>
          <w:tcPr>
            <w:tcW w:w="17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753</w:t>
            </w:r>
          </w:p>
        </w:tc>
      </w:tr>
      <w:tr w:rsidR="00E879B0">
        <w:tblPrEx>
          <w:tblCellMar>
            <w:top w:w="0" w:type="dxa"/>
            <w:bottom w:w="0" w:type="dxa"/>
          </w:tblCellMar>
        </w:tblPrEx>
        <w:trPr>
          <w:cantSplit/>
        </w:trPr>
        <w:tc>
          <w:tcPr>
            <w:tcW w:w="13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t>Fold 4</w:t>
            </w:r>
          </w:p>
        </w:tc>
        <w:tc>
          <w:tcPr>
            <w:tcW w:w="237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may-2007 a dic-2024</w:t>
            </w:r>
          </w:p>
        </w:tc>
        <w:tc>
          <w:tcPr>
            <w:tcW w:w="20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2025 a oct-2026</w:t>
            </w:r>
          </w:p>
        </w:tc>
        <w:tc>
          <w:tcPr>
            <w:tcW w:w="17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4.424</w:t>
            </w:r>
          </w:p>
        </w:tc>
        <w:tc>
          <w:tcPr>
            <w:tcW w:w="17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439</w:t>
            </w:r>
          </w:p>
        </w:tc>
      </w:tr>
    </w:tbl>
    <w:p w:rsidR="00E879B0" w:rsidRDefault="00D91B08">
      <w:pPr>
        <w:pStyle w:val="Ttulo2"/>
      </w:pPr>
      <w:bookmarkStart w:id="15" w:name="_Toc242436800"/>
      <w:r>
        <w:t>6.3 Prevención de fuga de información</w:t>
      </w:r>
      <w:bookmarkEnd w:id="15"/>
    </w:p>
    <w:p w:rsidR="00E879B0" w:rsidRDefault="00D91B08">
      <w:pPr>
        <w:pStyle w:val="Prrafodelista"/>
        <w:numPr>
          <w:ilvl w:val="0"/>
          <w:numId w:val="3"/>
        </w:numPr>
        <w:spacing w:after="80" w:line="290" w:lineRule="auto"/>
      </w:pPr>
      <w:r>
        <w:rPr>
          <w:b/>
          <w:bCs/>
        </w:rPr>
        <w:t xml:space="preserve">Purga temporal: </w:t>
      </w:r>
      <w:r>
        <w:t>se eliminan las últimas cinco observaciones de cada entrenamiento, cuya etiqueta depende de precios del período de prueba.</w:t>
      </w:r>
    </w:p>
    <w:p w:rsidR="00E879B0" w:rsidRDefault="00D91B08">
      <w:pPr>
        <w:pStyle w:val="Prrafodelista"/>
        <w:numPr>
          <w:ilvl w:val="0"/>
          <w:numId w:val="3"/>
        </w:numPr>
        <w:spacing w:after="80" w:line="290" w:lineRule="auto"/>
      </w:pPr>
      <w:r>
        <w:rPr>
          <w:b/>
          <w:bCs/>
        </w:rPr>
        <w:t xml:space="preserve">Estandarización por bloque: </w:t>
      </w:r>
      <w:r>
        <w:t>media y desvío se estiman solo con el entrenamiento de cada bloque y se aplican sin cambios a la prueba.</w:t>
      </w:r>
    </w:p>
    <w:p w:rsidR="00E879B0" w:rsidRDefault="00D91B08">
      <w:pPr>
        <w:pStyle w:val="Prrafodelista"/>
        <w:numPr>
          <w:ilvl w:val="0"/>
          <w:numId w:val="3"/>
        </w:numPr>
        <w:spacing w:after="80" w:line="290" w:lineRule="auto"/>
      </w:pPr>
      <w:r>
        <w:rPr>
          <w:b/>
          <w:bCs/>
        </w:rPr>
        <w:t xml:space="preserve">Variables punto a punto: </w:t>
      </w:r>
      <w:r>
        <w:t>todas las variables de t se calculan con información disponible al cierre de t.</w:t>
      </w:r>
    </w:p>
    <w:p w:rsidR="00E879B0" w:rsidRDefault="00D91B08">
      <w:pPr>
        <w:pStyle w:val="Prrafodelista"/>
        <w:numPr>
          <w:ilvl w:val="0"/>
          <w:numId w:val="3"/>
        </w:numPr>
        <w:spacing w:after="80" w:line="290" w:lineRule="auto"/>
      </w:pPr>
      <w:r>
        <w:rPr>
          <w:b/>
          <w:bCs/>
        </w:rPr>
        <w:t xml:space="preserve">Secuencias de prueba: </w:t>
      </w:r>
      <w:r>
        <w:t>las primeras secuencias de cada bloque usan las 19 ruedas anteriores solo como contexto de entrada; ninguna etiqueta del entrenam</w:t>
      </w:r>
      <w:r>
        <w:t>iento entra en la evaluación.</w:t>
      </w:r>
    </w:p>
    <w:p w:rsidR="00E879B0" w:rsidRDefault="00D91B08">
      <w:pPr>
        <w:pStyle w:val="Ttulo2"/>
      </w:pPr>
      <w:bookmarkStart w:id="16" w:name="_Toc242436801"/>
      <w:r>
        <w:lastRenderedPageBreak/>
        <w:t>6.4 Métricas</w:t>
      </w:r>
      <w:bookmarkEnd w:id="16"/>
    </w:p>
    <w:p w:rsidR="00E879B0" w:rsidRDefault="00D91B08">
      <w:pPr>
        <w:spacing w:after="140" w:line="300" w:lineRule="auto"/>
        <w:jc w:val="both"/>
      </w:pPr>
      <w:r>
        <w:t>La métrica principal es el puntaje de Brier, el error cuadrático medio entre la probabilidad predicha y el resultado observado (menor es mejor):</w:t>
      </w:r>
    </w:p>
    <w:p w:rsidR="00E879B0" w:rsidRDefault="00D91B08">
      <w:pPr>
        <w:spacing w:before="80" w:after="160"/>
        <w:jc w:val="center"/>
      </w:pPr>
      <w:r>
        <w:rPr>
          <w:rFonts w:ascii="Cambria Math" w:eastAsia="Cambria Math" w:hAnsi="Cambria Math" w:cs="Cambria Math"/>
          <w:i/>
          <w:iCs/>
          <w:sz w:val="23"/>
          <w:szCs w:val="23"/>
        </w:rPr>
        <w:t>BS = (1/M) · Σ</w:t>
      </w:r>
      <w:r>
        <w:rPr>
          <w:rFonts w:ascii="Cambria Math" w:eastAsia="Cambria Math" w:hAnsi="Cambria Math" w:cs="Cambria Math"/>
          <w:i/>
          <w:iCs/>
          <w:sz w:val="23"/>
          <w:szCs w:val="23"/>
        </w:rPr>
        <w:t>ᵢ</w:t>
      </w:r>
      <w:r>
        <w:rPr>
          <w:rFonts w:ascii="Cambria Math" w:eastAsia="Cambria Math" w:hAnsi="Cambria Math" w:cs="Cambria Math"/>
          <w:i/>
          <w:iCs/>
          <w:sz w:val="23"/>
          <w:szCs w:val="23"/>
        </w:rPr>
        <w:t xml:space="preserve"> (p</w:t>
      </w:r>
      <w:r>
        <w:rPr>
          <w:rFonts w:ascii="Cambria Math" w:eastAsia="Cambria Math" w:hAnsi="Cambria Math" w:cs="Cambria Math"/>
          <w:i/>
          <w:iCs/>
          <w:sz w:val="23"/>
          <w:szCs w:val="23"/>
        </w:rPr>
        <w:t>ᵢ</w:t>
      </w:r>
      <w:r>
        <w:rPr>
          <w:rFonts w:ascii="Cambria Math" w:eastAsia="Cambria Math" w:hAnsi="Cambria Math" w:cs="Cambria Math"/>
          <w:i/>
          <w:iCs/>
          <w:sz w:val="23"/>
          <w:szCs w:val="23"/>
        </w:rPr>
        <w:t xml:space="preserve"> − y</w:t>
      </w:r>
      <w:r>
        <w:rPr>
          <w:rFonts w:ascii="Cambria Math" w:eastAsia="Cambria Math" w:hAnsi="Cambria Math" w:cs="Cambria Math"/>
          <w:i/>
          <w:iCs/>
          <w:sz w:val="23"/>
          <w:szCs w:val="23"/>
        </w:rPr>
        <w:t>ᵢ</w:t>
      </w:r>
      <w:r>
        <w:rPr>
          <w:rFonts w:ascii="Cambria Math" w:eastAsia="Cambria Math" w:hAnsi="Cambria Math" w:cs="Cambria Math"/>
          <w:i/>
          <w:iCs/>
          <w:sz w:val="23"/>
          <w:szCs w:val="23"/>
        </w:rPr>
        <w:t>)²</w:t>
      </w:r>
    </w:p>
    <w:p w:rsidR="00E879B0" w:rsidRDefault="00D91B08">
      <w:pPr>
        <w:spacing w:after="140" w:line="300" w:lineRule="auto"/>
        <w:jc w:val="both"/>
      </w:pPr>
      <w:r>
        <w:t>El Brier Skill Score expresa la mejora relativa frente a la línea de base ingenua; un valor positivo indica que el modelo aporta información por encima de la frecuencia histórica:</w:t>
      </w:r>
    </w:p>
    <w:p w:rsidR="00E879B0" w:rsidRDefault="00D91B08">
      <w:pPr>
        <w:spacing w:before="80" w:after="160"/>
        <w:jc w:val="center"/>
      </w:pPr>
      <w:r>
        <w:rPr>
          <w:rFonts w:ascii="Cambria Math" w:eastAsia="Cambria Math" w:hAnsi="Cambria Math" w:cs="Cambria Math"/>
          <w:i/>
          <w:iCs/>
          <w:sz w:val="23"/>
          <w:szCs w:val="23"/>
        </w:rPr>
        <w:t>BSS = 1 − BS(modelo) / BS(línea de base)</w:t>
      </w:r>
    </w:p>
    <w:p w:rsidR="00E879B0" w:rsidRDefault="00D91B08">
      <w:pPr>
        <w:spacing w:after="140" w:line="300" w:lineRule="auto"/>
        <w:jc w:val="both"/>
      </w:pPr>
      <w:r>
        <w:t>Se informan además el AUC-ROC (capa</w:t>
      </w:r>
      <w:r>
        <w:t>cidad de ordenar observaciones, independiente de la calibración), la exactitud con umbral 0,5 y la pérdida logarítmica. Los promedios entre bloques se ponderan por la cantidad de observaciones de prueba. La calibración se inspecciona con diagramas de confi</w:t>
      </w:r>
      <w:r>
        <w:t>abilidad por cuantiles.</w:t>
      </w:r>
    </w:p>
    <w:p w:rsidR="00E879B0" w:rsidRDefault="00D91B08">
      <w:pPr>
        <w:pStyle w:val="Ttulo2"/>
      </w:pPr>
      <w:bookmarkStart w:id="17" w:name="_Toc242436802"/>
      <w:r>
        <w:t>6.5 Significancia estadística</w:t>
      </w:r>
      <w:bookmarkEnd w:id="17"/>
    </w:p>
    <w:p w:rsidR="00E879B0" w:rsidRDefault="00D91B08">
      <w:pPr>
        <w:spacing w:after="140" w:line="300" w:lineRule="auto"/>
        <w:jc w:val="both"/>
      </w:pPr>
      <w:r>
        <w:t>Las predicciones fuera de muestra están autocorrelacionadas por el solapamiento de las etiquetas. Para estimar intervalos de confianza de las diferencias entre modelos se usa un bootstrap por bloques mó</w:t>
      </w:r>
      <w:r>
        <w:t>viles (bloques de 20 ruedas, 2.000 réplicas): en cada réplica se remuestrean bloques contiguos y se recalcula la diferencia de la métrica. Una diferencia se considera significativa si su intervalo del 95% no contiene el cero.</w:t>
      </w:r>
    </w:p>
    <w:p w:rsidR="00E879B0" w:rsidRDefault="00D91B08">
      <w:pPr>
        <w:pStyle w:val="Ttulo2"/>
      </w:pPr>
      <w:bookmarkStart w:id="18" w:name="_Toc242436803"/>
      <w:r>
        <w:t>6.6 Evaluación económica</w:t>
      </w:r>
      <w:bookmarkEnd w:id="18"/>
    </w:p>
    <w:p w:rsidR="00E879B0" w:rsidRDefault="00D91B08">
      <w:pPr>
        <w:spacing w:after="140" w:line="300" w:lineRule="auto"/>
        <w:jc w:val="both"/>
      </w:pPr>
      <w:r>
        <w:t xml:space="preserve">Para </w:t>
      </w:r>
      <w:r>
        <w:t>ilustrar el efecto de la calibración sobre decisiones de inversión, la probabilidad de cada modelo se convierte en una posición comprada entre 0 y 1 mediante medio criterio de Kelly para una apuesta de pago simétrico:</w:t>
      </w:r>
    </w:p>
    <w:p w:rsidR="00E879B0" w:rsidRDefault="00D91B08">
      <w:pPr>
        <w:spacing w:before="80" w:after="160"/>
        <w:jc w:val="center"/>
      </w:pPr>
      <w:r>
        <w:rPr>
          <w:rFonts w:ascii="Cambria Math" w:eastAsia="Cambria Math" w:hAnsi="Cambria Math" w:cs="Cambria Math"/>
          <w:i/>
          <w:iCs/>
          <w:sz w:val="23"/>
          <w:szCs w:val="23"/>
        </w:rPr>
        <w:t>fₜ = mín(máx(pₜ − 0,5; 0); 1)</w:t>
      </w:r>
    </w:p>
    <w:p w:rsidR="00E879B0" w:rsidRDefault="00D91B08">
      <w:pPr>
        <w:spacing w:after="140" w:line="300" w:lineRule="auto"/>
        <w:jc w:val="both"/>
      </w:pPr>
      <w:r>
        <w:t>La posic</w:t>
      </w:r>
      <w:r>
        <w:t>ión decidida al cierre de t se aplica al retorno real de SPY entre t y t + 1, y se descuentan 5 puntos básicos por unidad de rotación de la posición. Se informan retorno y volatilidad anualizados, ratio de Sharpe (tasa libre de riesgo nula), máxima caída y</w:t>
      </w:r>
      <w:r>
        <w:t xml:space="preserve"> exposición media, frente a mantener SPY durante todo el período. Esta evaluación es ilustrativa: no incluye impuestos, deslizamiento adicional ni restricciones operativas.</w:t>
      </w:r>
    </w:p>
    <w:p w:rsidR="00E879B0" w:rsidRDefault="00D91B08">
      <w:pPr>
        <w:pStyle w:val="Ttulo1"/>
      </w:pPr>
      <w:bookmarkStart w:id="19" w:name="_Toc242436804"/>
      <w:r>
        <w:t>7. Resultados</w:t>
      </w:r>
      <w:bookmarkEnd w:id="19"/>
    </w:p>
    <w:p w:rsidR="00E879B0" w:rsidRDefault="00D91B08">
      <w:pPr>
        <w:spacing w:after="140" w:line="300" w:lineRule="auto"/>
        <w:jc w:val="both"/>
      </w:pPr>
      <w:r>
        <w:t>Los resultados corresponden a una ejecución completa del notebook cor</w:t>
      </w:r>
      <w:r>
        <w:t>regido (datos descargados el 9 de octubre de 2026). Se evaluaron 2.703 ruedas fuera de muestra entre enero de 2016 y octubre de 2026.</w:t>
      </w:r>
    </w:p>
    <w:p w:rsidR="00E879B0" w:rsidRDefault="00D91B08">
      <w:pPr>
        <w:pStyle w:val="Ttulo2"/>
      </w:pPr>
      <w:bookmarkStart w:id="20" w:name="_Toc242436805"/>
      <w:r>
        <w:lastRenderedPageBreak/>
        <w:t>7.1 Desempeño por bloque</w:t>
      </w:r>
      <w:bookmarkEnd w:id="20"/>
    </w:p>
    <w:p w:rsidR="00E879B0" w:rsidRDefault="00D91B08">
      <w:pPr>
        <w:keepNext/>
        <w:spacing w:before="200" w:after="80"/>
      </w:pPr>
      <w:r>
        <w:rPr>
          <w:b/>
          <w:bCs/>
          <w:sz w:val="19"/>
          <w:szCs w:val="19"/>
        </w:rPr>
        <w:t>Tabla 5. Métricas fuera de muestra por bloque</w:t>
      </w:r>
    </w:p>
    <w:tbl>
      <w:tblPr>
        <w:tblW w:w="907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70"/>
        <w:gridCol w:w="1400"/>
        <w:gridCol w:w="1400"/>
        <w:gridCol w:w="1400"/>
        <w:gridCol w:w="1400"/>
      </w:tblGrid>
      <w:tr w:rsidR="00E879B0">
        <w:tblPrEx>
          <w:tblCellMar>
            <w:top w:w="0" w:type="dxa"/>
            <w:bottom w:w="0" w:type="dxa"/>
          </w:tblCellMar>
        </w:tblPrEx>
        <w:trPr>
          <w:tblHeader/>
        </w:trPr>
        <w:tc>
          <w:tcPr>
            <w:tcW w:w="120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r>
              <w:rPr>
                <w:b/>
                <w:bCs/>
                <w:color w:val="FFFFFF"/>
                <w:sz w:val="19"/>
                <w:szCs w:val="19"/>
              </w:rPr>
              <w:t>Bloque</w:t>
            </w:r>
          </w:p>
        </w:tc>
        <w:tc>
          <w:tcPr>
            <w:tcW w:w="227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pPr>
              <w:jc w:val="center"/>
            </w:pPr>
            <w:r>
              <w:rPr>
                <w:b/>
                <w:bCs/>
                <w:color w:val="FFFFFF"/>
                <w:sz w:val="19"/>
                <w:szCs w:val="19"/>
              </w:rPr>
              <w:t>Modelo</w:t>
            </w:r>
          </w:p>
        </w:tc>
        <w:tc>
          <w:tcPr>
            <w:tcW w:w="140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pPr>
              <w:jc w:val="center"/>
            </w:pPr>
            <w:r>
              <w:rPr>
                <w:b/>
                <w:bCs/>
                <w:color w:val="FFFFFF"/>
                <w:sz w:val="19"/>
                <w:szCs w:val="19"/>
              </w:rPr>
              <w:t>Exactitud</w:t>
            </w:r>
          </w:p>
        </w:tc>
        <w:tc>
          <w:tcPr>
            <w:tcW w:w="140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pPr>
              <w:jc w:val="center"/>
            </w:pPr>
            <w:r>
              <w:rPr>
                <w:b/>
                <w:bCs/>
                <w:color w:val="FFFFFF"/>
                <w:sz w:val="19"/>
                <w:szCs w:val="19"/>
              </w:rPr>
              <w:t>AUC-ROC</w:t>
            </w:r>
          </w:p>
        </w:tc>
        <w:tc>
          <w:tcPr>
            <w:tcW w:w="140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pPr>
              <w:jc w:val="center"/>
            </w:pPr>
            <w:r>
              <w:rPr>
                <w:b/>
                <w:bCs/>
                <w:color w:val="FFFFFF"/>
                <w:sz w:val="19"/>
                <w:szCs w:val="19"/>
              </w:rPr>
              <w:t>Brier</w:t>
            </w:r>
          </w:p>
        </w:tc>
        <w:tc>
          <w:tcPr>
            <w:tcW w:w="140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pPr>
              <w:jc w:val="center"/>
            </w:pPr>
            <w:r>
              <w:rPr>
                <w:b/>
                <w:bCs/>
                <w:color w:val="FFFFFF"/>
                <w:sz w:val="19"/>
                <w:szCs w:val="19"/>
              </w:rPr>
              <w:t>BSS</w:t>
            </w:r>
          </w:p>
        </w:tc>
      </w:tr>
      <w:tr w:rsidR="00E879B0">
        <w:tblPrEx>
          <w:tblCellMar>
            <w:top w:w="0" w:type="dxa"/>
            <w:bottom w:w="0" w:type="dxa"/>
          </w:tblCellMar>
        </w:tblPrEx>
        <w:trPr>
          <w:cantSplit/>
        </w:trPr>
        <w:tc>
          <w:tcPr>
            <w:tcW w:w="12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Fold 1</w:t>
            </w:r>
          </w:p>
        </w:tc>
        <w:tc>
          <w:tcPr>
            <w:tcW w:w="227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Línea de base</w:t>
            </w:r>
          </w:p>
        </w:tc>
        <w:tc>
          <w:tcPr>
            <w:tcW w:w="14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61,9%</w:t>
            </w:r>
          </w:p>
        </w:tc>
        <w:tc>
          <w:tcPr>
            <w:tcW w:w="14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0,500</w:t>
            </w:r>
          </w:p>
        </w:tc>
        <w:tc>
          <w:tcPr>
            <w:tcW w:w="14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0,2378</w:t>
            </w:r>
          </w:p>
        </w:tc>
        <w:tc>
          <w:tcPr>
            <w:tcW w:w="14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0,0%</w:t>
            </w:r>
          </w:p>
        </w:tc>
      </w:tr>
      <w:tr w:rsidR="00E879B0">
        <w:tblPrEx>
          <w:tblCellMar>
            <w:top w:w="0" w:type="dxa"/>
            <w:bottom w:w="0" w:type="dxa"/>
          </w:tblCellMar>
        </w:tblPrEx>
        <w:trPr>
          <w:cantSplit/>
        </w:trPr>
        <w:tc>
          <w:tcPr>
            <w:tcW w:w="12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E879B0"/>
        </w:tc>
        <w:tc>
          <w:tcPr>
            <w:tcW w:w="227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Regresión logística</w:t>
            </w:r>
          </w:p>
        </w:tc>
        <w:tc>
          <w:tcPr>
            <w:tcW w:w="14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55,2%</w:t>
            </w:r>
          </w:p>
        </w:tc>
        <w:tc>
          <w:tcPr>
            <w:tcW w:w="14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0,514</w:t>
            </w:r>
          </w:p>
        </w:tc>
        <w:tc>
          <w:tcPr>
            <w:tcW w:w="14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0,2580</w:t>
            </w:r>
          </w:p>
        </w:tc>
        <w:tc>
          <w:tcPr>
            <w:tcW w:w="14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w:t>
            </w:r>
            <w:r>
              <w:rPr>
                <w:sz w:val="19"/>
                <w:szCs w:val="19"/>
              </w:rPr>
              <w:t>8,5%</w:t>
            </w:r>
          </w:p>
        </w:tc>
      </w:tr>
      <w:tr w:rsidR="00E879B0">
        <w:tblPrEx>
          <w:tblCellMar>
            <w:top w:w="0" w:type="dxa"/>
            <w:bottom w:w="0" w:type="dxa"/>
          </w:tblCellMar>
        </w:tblPrEx>
        <w:trPr>
          <w:cantSplit/>
        </w:trPr>
        <w:tc>
          <w:tcPr>
            <w:tcW w:w="12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E879B0"/>
        </w:tc>
        <w:tc>
          <w:tcPr>
            <w:tcW w:w="227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GRU</w:t>
            </w:r>
          </w:p>
        </w:tc>
        <w:tc>
          <w:tcPr>
            <w:tcW w:w="14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58,8%</w:t>
            </w:r>
          </w:p>
        </w:tc>
        <w:tc>
          <w:tcPr>
            <w:tcW w:w="14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0,509</w:t>
            </w:r>
          </w:p>
        </w:tc>
        <w:tc>
          <w:tcPr>
            <w:tcW w:w="14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0,2443</w:t>
            </w:r>
          </w:p>
        </w:tc>
        <w:tc>
          <w:tcPr>
            <w:tcW w:w="14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w:t>
            </w:r>
            <w:r>
              <w:rPr>
                <w:sz w:val="19"/>
                <w:szCs w:val="19"/>
              </w:rPr>
              <w:t>2,7%</w:t>
            </w:r>
          </w:p>
        </w:tc>
      </w:tr>
      <w:tr w:rsidR="00E879B0">
        <w:tblPrEx>
          <w:tblCellMar>
            <w:top w:w="0" w:type="dxa"/>
            <w:bottom w:w="0" w:type="dxa"/>
          </w:tblCellMar>
        </w:tblPrEx>
        <w:trPr>
          <w:cantSplit/>
        </w:trPr>
        <w:tc>
          <w:tcPr>
            <w:tcW w:w="12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t>Fold 2</w:t>
            </w:r>
          </w:p>
        </w:tc>
        <w:tc>
          <w:tcPr>
            <w:tcW w:w="227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Línea de base</w:t>
            </w:r>
          </w:p>
        </w:tc>
        <w:tc>
          <w:tcPr>
            <w:tcW w:w="14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66,3%</w:t>
            </w:r>
          </w:p>
        </w:tc>
        <w:tc>
          <w:tcPr>
            <w:tcW w:w="14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0,500</w:t>
            </w:r>
          </w:p>
        </w:tc>
        <w:tc>
          <w:tcPr>
            <w:tcW w:w="14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0,2296</w:t>
            </w:r>
          </w:p>
        </w:tc>
        <w:tc>
          <w:tcPr>
            <w:tcW w:w="14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0,0%</w:t>
            </w:r>
          </w:p>
        </w:tc>
      </w:tr>
      <w:tr w:rsidR="00E879B0">
        <w:tblPrEx>
          <w:tblCellMar>
            <w:top w:w="0" w:type="dxa"/>
            <w:bottom w:w="0" w:type="dxa"/>
          </w:tblCellMar>
        </w:tblPrEx>
        <w:trPr>
          <w:cantSplit/>
        </w:trPr>
        <w:tc>
          <w:tcPr>
            <w:tcW w:w="12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E879B0"/>
        </w:tc>
        <w:tc>
          <w:tcPr>
            <w:tcW w:w="227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Regresión logística</w:t>
            </w:r>
          </w:p>
        </w:tc>
        <w:tc>
          <w:tcPr>
            <w:tcW w:w="14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51,1%</w:t>
            </w:r>
          </w:p>
        </w:tc>
        <w:tc>
          <w:tcPr>
            <w:tcW w:w="14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0,492</w:t>
            </w:r>
          </w:p>
        </w:tc>
        <w:tc>
          <w:tcPr>
            <w:tcW w:w="14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0,2893</w:t>
            </w:r>
          </w:p>
        </w:tc>
        <w:tc>
          <w:tcPr>
            <w:tcW w:w="14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w:t>
            </w:r>
            <w:r>
              <w:rPr>
                <w:sz w:val="19"/>
                <w:szCs w:val="19"/>
              </w:rPr>
              <w:t>26,0%</w:t>
            </w:r>
          </w:p>
        </w:tc>
      </w:tr>
      <w:tr w:rsidR="00E879B0">
        <w:tblPrEx>
          <w:tblCellMar>
            <w:top w:w="0" w:type="dxa"/>
            <w:bottom w:w="0" w:type="dxa"/>
          </w:tblCellMar>
        </w:tblPrEx>
        <w:trPr>
          <w:cantSplit/>
        </w:trPr>
        <w:tc>
          <w:tcPr>
            <w:tcW w:w="12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E879B0"/>
        </w:tc>
        <w:tc>
          <w:tcPr>
            <w:tcW w:w="227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GRU</w:t>
            </w:r>
          </w:p>
        </w:tc>
        <w:tc>
          <w:tcPr>
            <w:tcW w:w="14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59,2%</w:t>
            </w:r>
          </w:p>
        </w:tc>
        <w:tc>
          <w:tcPr>
            <w:tcW w:w="14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0,543</w:t>
            </w:r>
          </w:p>
        </w:tc>
        <w:tc>
          <w:tcPr>
            <w:tcW w:w="14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0,2367</w:t>
            </w:r>
          </w:p>
        </w:tc>
        <w:tc>
          <w:tcPr>
            <w:tcW w:w="14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w:t>
            </w:r>
            <w:r>
              <w:rPr>
                <w:sz w:val="19"/>
                <w:szCs w:val="19"/>
              </w:rPr>
              <w:t>3,1%</w:t>
            </w:r>
          </w:p>
        </w:tc>
      </w:tr>
      <w:tr w:rsidR="00E879B0">
        <w:tblPrEx>
          <w:tblCellMar>
            <w:top w:w="0" w:type="dxa"/>
            <w:bottom w:w="0" w:type="dxa"/>
          </w:tblCellMar>
        </w:tblPrEx>
        <w:trPr>
          <w:cantSplit/>
        </w:trPr>
        <w:tc>
          <w:tcPr>
            <w:tcW w:w="12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Fold 3</w:t>
            </w:r>
          </w:p>
        </w:tc>
        <w:tc>
          <w:tcPr>
            <w:tcW w:w="227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Línea de base</w:t>
            </w:r>
          </w:p>
        </w:tc>
        <w:tc>
          <w:tcPr>
            <w:tcW w:w="14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58,3%</w:t>
            </w:r>
          </w:p>
        </w:tc>
        <w:tc>
          <w:tcPr>
            <w:tcW w:w="14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0,500</w:t>
            </w:r>
          </w:p>
        </w:tc>
        <w:tc>
          <w:tcPr>
            <w:tcW w:w="14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0,2434</w:t>
            </w:r>
          </w:p>
        </w:tc>
        <w:tc>
          <w:tcPr>
            <w:tcW w:w="14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0,0%</w:t>
            </w:r>
          </w:p>
        </w:tc>
      </w:tr>
      <w:tr w:rsidR="00E879B0">
        <w:tblPrEx>
          <w:tblCellMar>
            <w:top w:w="0" w:type="dxa"/>
            <w:bottom w:w="0" w:type="dxa"/>
          </w:tblCellMar>
        </w:tblPrEx>
        <w:trPr>
          <w:cantSplit/>
        </w:trPr>
        <w:tc>
          <w:tcPr>
            <w:tcW w:w="12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E879B0"/>
        </w:tc>
        <w:tc>
          <w:tcPr>
            <w:tcW w:w="227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Regresión logística</w:t>
            </w:r>
          </w:p>
        </w:tc>
        <w:tc>
          <w:tcPr>
            <w:tcW w:w="14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58,2%</w:t>
            </w:r>
          </w:p>
        </w:tc>
        <w:tc>
          <w:tcPr>
            <w:tcW w:w="14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0,530</w:t>
            </w:r>
          </w:p>
        </w:tc>
        <w:tc>
          <w:tcPr>
            <w:tcW w:w="14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0,2566</w:t>
            </w:r>
          </w:p>
        </w:tc>
        <w:tc>
          <w:tcPr>
            <w:tcW w:w="14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w:t>
            </w:r>
            <w:r>
              <w:rPr>
                <w:sz w:val="19"/>
                <w:szCs w:val="19"/>
              </w:rPr>
              <w:t>5,4%</w:t>
            </w:r>
          </w:p>
        </w:tc>
      </w:tr>
      <w:tr w:rsidR="00E879B0">
        <w:tblPrEx>
          <w:tblCellMar>
            <w:top w:w="0" w:type="dxa"/>
            <w:bottom w:w="0" w:type="dxa"/>
          </w:tblCellMar>
        </w:tblPrEx>
        <w:trPr>
          <w:cantSplit/>
        </w:trPr>
        <w:tc>
          <w:tcPr>
            <w:tcW w:w="12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E879B0"/>
        </w:tc>
        <w:tc>
          <w:tcPr>
            <w:tcW w:w="227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GRU</w:t>
            </w:r>
          </w:p>
        </w:tc>
        <w:tc>
          <w:tcPr>
            <w:tcW w:w="14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52,5%</w:t>
            </w:r>
          </w:p>
        </w:tc>
        <w:tc>
          <w:tcPr>
            <w:tcW w:w="14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0,510</w:t>
            </w:r>
          </w:p>
        </w:tc>
        <w:tc>
          <w:tcPr>
            <w:tcW w:w="14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0,2658</w:t>
            </w:r>
          </w:p>
        </w:tc>
        <w:tc>
          <w:tcPr>
            <w:tcW w:w="14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w:t>
            </w:r>
            <w:r>
              <w:rPr>
                <w:sz w:val="19"/>
                <w:szCs w:val="19"/>
              </w:rPr>
              <w:t>9,2%</w:t>
            </w:r>
          </w:p>
        </w:tc>
      </w:tr>
      <w:tr w:rsidR="00E879B0">
        <w:tblPrEx>
          <w:tblCellMar>
            <w:top w:w="0" w:type="dxa"/>
            <w:bottom w:w="0" w:type="dxa"/>
          </w:tblCellMar>
        </w:tblPrEx>
        <w:trPr>
          <w:cantSplit/>
        </w:trPr>
        <w:tc>
          <w:tcPr>
            <w:tcW w:w="12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t>Fold 4</w:t>
            </w:r>
          </w:p>
        </w:tc>
        <w:tc>
          <w:tcPr>
            <w:tcW w:w="227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Línea de base</w:t>
            </w:r>
          </w:p>
        </w:tc>
        <w:tc>
          <w:tcPr>
            <w:tcW w:w="14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59,7%</w:t>
            </w:r>
          </w:p>
        </w:tc>
        <w:tc>
          <w:tcPr>
            <w:tcW w:w="14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0,500</w:t>
            </w:r>
          </w:p>
        </w:tc>
        <w:tc>
          <w:tcPr>
            <w:tcW w:w="14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0,2406</w:t>
            </w:r>
          </w:p>
        </w:tc>
        <w:tc>
          <w:tcPr>
            <w:tcW w:w="14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0,0%</w:t>
            </w:r>
          </w:p>
        </w:tc>
      </w:tr>
      <w:tr w:rsidR="00E879B0">
        <w:tblPrEx>
          <w:tblCellMar>
            <w:top w:w="0" w:type="dxa"/>
            <w:bottom w:w="0" w:type="dxa"/>
          </w:tblCellMar>
        </w:tblPrEx>
        <w:trPr>
          <w:cantSplit/>
        </w:trPr>
        <w:tc>
          <w:tcPr>
            <w:tcW w:w="12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E879B0"/>
        </w:tc>
        <w:tc>
          <w:tcPr>
            <w:tcW w:w="227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Regresión logística</w:t>
            </w:r>
          </w:p>
        </w:tc>
        <w:tc>
          <w:tcPr>
            <w:tcW w:w="14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56,3%</w:t>
            </w:r>
          </w:p>
        </w:tc>
        <w:tc>
          <w:tcPr>
            <w:tcW w:w="14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0,557</w:t>
            </w:r>
          </w:p>
        </w:tc>
        <w:tc>
          <w:tcPr>
            <w:tcW w:w="14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0,2532</w:t>
            </w:r>
          </w:p>
        </w:tc>
        <w:tc>
          <w:tcPr>
            <w:tcW w:w="14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w:t>
            </w:r>
            <w:r>
              <w:rPr>
                <w:sz w:val="19"/>
                <w:szCs w:val="19"/>
              </w:rPr>
              <w:t>5,2%</w:t>
            </w:r>
          </w:p>
        </w:tc>
      </w:tr>
      <w:tr w:rsidR="00E879B0">
        <w:tblPrEx>
          <w:tblCellMar>
            <w:top w:w="0" w:type="dxa"/>
            <w:bottom w:w="0" w:type="dxa"/>
          </w:tblCellMar>
        </w:tblPrEx>
        <w:trPr>
          <w:cantSplit/>
        </w:trPr>
        <w:tc>
          <w:tcPr>
            <w:tcW w:w="12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E879B0"/>
        </w:tc>
        <w:tc>
          <w:tcPr>
            <w:tcW w:w="227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GRU</w:t>
            </w:r>
          </w:p>
        </w:tc>
        <w:tc>
          <w:tcPr>
            <w:tcW w:w="14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54,2%</w:t>
            </w:r>
          </w:p>
        </w:tc>
        <w:tc>
          <w:tcPr>
            <w:tcW w:w="14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0,477</w:t>
            </w:r>
          </w:p>
        </w:tc>
        <w:tc>
          <w:tcPr>
            <w:tcW w:w="14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0,2607</w:t>
            </w:r>
          </w:p>
        </w:tc>
        <w:tc>
          <w:tcPr>
            <w:tcW w:w="14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w:t>
            </w:r>
            <w:r>
              <w:rPr>
                <w:sz w:val="19"/>
                <w:szCs w:val="19"/>
              </w:rPr>
              <w:t>8,3%</w:t>
            </w:r>
          </w:p>
        </w:tc>
      </w:tr>
    </w:tbl>
    <w:p w:rsidR="00E879B0" w:rsidRDefault="00D91B08">
      <w:pPr>
        <w:keepNext/>
        <w:spacing w:before="200" w:after="80"/>
      </w:pPr>
      <w:r>
        <w:rPr>
          <w:b/>
          <w:bCs/>
          <w:sz w:val="19"/>
          <w:szCs w:val="19"/>
        </w:rPr>
        <w:t>Tabla 6. Promedio ponderado por observaciones de prueba (N = 2.703)</w:t>
      </w:r>
    </w:p>
    <w:tbl>
      <w:tblPr>
        <w:tblW w:w="907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0"/>
        <w:gridCol w:w="1550"/>
        <w:gridCol w:w="1550"/>
        <w:gridCol w:w="1550"/>
        <w:gridCol w:w="1550"/>
      </w:tblGrid>
      <w:tr w:rsidR="00E879B0">
        <w:tblPrEx>
          <w:tblCellMar>
            <w:top w:w="0" w:type="dxa"/>
            <w:bottom w:w="0" w:type="dxa"/>
          </w:tblCellMar>
        </w:tblPrEx>
        <w:trPr>
          <w:tblHeader/>
        </w:trPr>
        <w:tc>
          <w:tcPr>
            <w:tcW w:w="287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r>
              <w:rPr>
                <w:b/>
                <w:bCs/>
                <w:color w:val="FFFFFF"/>
                <w:sz w:val="19"/>
                <w:szCs w:val="19"/>
              </w:rPr>
              <w:t>Modelo</w:t>
            </w:r>
          </w:p>
        </w:tc>
        <w:tc>
          <w:tcPr>
            <w:tcW w:w="155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pPr>
              <w:jc w:val="center"/>
            </w:pPr>
            <w:r>
              <w:rPr>
                <w:b/>
                <w:bCs/>
                <w:color w:val="FFFFFF"/>
                <w:sz w:val="19"/>
                <w:szCs w:val="19"/>
              </w:rPr>
              <w:t>Exactitud</w:t>
            </w:r>
          </w:p>
        </w:tc>
        <w:tc>
          <w:tcPr>
            <w:tcW w:w="155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pPr>
              <w:jc w:val="center"/>
            </w:pPr>
            <w:r>
              <w:rPr>
                <w:b/>
                <w:bCs/>
                <w:color w:val="FFFFFF"/>
                <w:sz w:val="19"/>
                <w:szCs w:val="19"/>
              </w:rPr>
              <w:t>AUC-ROC</w:t>
            </w:r>
          </w:p>
        </w:tc>
        <w:tc>
          <w:tcPr>
            <w:tcW w:w="155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pPr>
              <w:jc w:val="center"/>
            </w:pPr>
            <w:r>
              <w:rPr>
                <w:b/>
                <w:bCs/>
                <w:color w:val="FFFFFF"/>
                <w:sz w:val="19"/>
                <w:szCs w:val="19"/>
              </w:rPr>
              <w:t>Brier</w:t>
            </w:r>
          </w:p>
        </w:tc>
        <w:tc>
          <w:tcPr>
            <w:tcW w:w="155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pPr>
              <w:jc w:val="center"/>
            </w:pPr>
            <w:r>
              <w:rPr>
                <w:b/>
                <w:bCs/>
                <w:color w:val="FFFFFF"/>
                <w:sz w:val="19"/>
                <w:szCs w:val="19"/>
              </w:rPr>
              <w:t>BSS</w:t>
            </w:r>
          </w:p>
        </w:tc>
      </w:tr>
      <w:tr w:rsidR="00E879B0">
        <w:tblPrEx>
          <w:tblCellMar>
            <w:top w:w="0" w:type="dxa"/>
            <w:bottom w:w="0" w:type="dxa"/>
          </w:tblCellMar>
        </w:tblPrEx>
        <w:trPr>
          <w:cantSplit/>
        </w:trPr>
        <w:tc>
          <w:tcPr>
            <w:tcW w:w="287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b/>
                <w:bCs/>
                <w:sz w:val="19"/>
                <w:szCs w:val="19"/>
              </w:rPr>
              <w:t>Línea de base</w:t>
            </w:r>
          </w:p>
        </w:tc>
        <w:tc>
          <w:tcPr>
            <w:tcW w:w="155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61,8%</w:t>
            </w:r>
          </w:p>
        </w:tc>
        <w:tc>
          <w:tcPr>
            <w:tcW w:w="155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0,500</w:t>
            </w:r>
          </w:p>
        </w:tc>
        <w:tc>
          <w:tcPr>
            <w:tcW w:w="155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0,2376</w:t>
            </w:r>
          </w:p>
        </w:tc>
        <w:tc>
          <w:tcPr>
            <w:tcW w:w="155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0,0%</w:t>
            </w:r>
          </w:p>
        </w:tc>
      </w:tr>
      <w:tr w:rsidR="00E879B0">
        <w:tblPrEx>
          <w:tblCellMar>
            <w:top w:w="0" w:type="dxa"/>
            <w:bottom w:w="0" w:type="dxa"/>
          </w:tblCellMar>
        </w:tblPrEx>
        <w:trPr>
          <w:cantSplit/>
        </w:trPr>
        <w:tc>
          <w:tcPr>
            <w:tcW w:w="287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b/>
                <w:bCs/>
                <w:sz w:val="19"/>
                <w:szCs w:val="19"/>
              </w:rPr>
              <w:t>Regresión logística</w:t>
            </w:r>
          </w:p>
        </w:tc>
        <w:tc>
          <w:tcPr>
            <w:tcW w:w="155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55,1%</w:t>
            </w:r>
          </w:p>
        </w:tc>
        <w:tc>
          <w:tcPr>
            <w:tcW w:w="155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0,519</w:t>
            </w:r>
          </w:p>
        </w:tc>
        <w:tc>
          <w:tcPr>
            <w:tcW w:w="155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0,2656</w:t>
            </w:r>
          </w:p>
        </w:tc>
        <w:tc>
          <w:tcPr>
            <w:tcW w:w="155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w:t>
            </w:r>
            <w:r>
              <w:rPr>
                <w:sz w:val="19"/>
                <w:szCs w:val="19"/>
              </w:rPr>
              <w:t>12,0%</w:t>
            </w:r>
          </w:p>
        </w:tc>
      </w:tr>
      <w:tr w:rsidR="00E879B0">
        <w:tblPrEx>
          <w:tblCellMar>
            <w:top w:w="0" w:type="dxa"/>
            <w:bottom w:w="0" w:type="dxa"/>
          </w:tblCellMar>
        </w:tblPrEx>
        <w:trPr>
          <w:cantSplit/>
        </w:trPr>
        <w:tc>
          <w:tcPr>
            <w:tcW w:w="287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b/>
                <w:bCs/>
                <w:sz w:val="19"/>
                <w:szCs w:val="19"/>
              </w:rPr>
              <w:t>GRU</w:t>
            </w:r>
          </w:p>
        </w:tc>
        <w:tc>
          <w:tcPr>
            <w:tcW w:w="155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56,4%</w:t>
            </w:r>
          </w:p>
        </w:tc>
        <w:tc>
          <w:tcPr>
            <w:tcW w:w="155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0,513</w:t>
            </w:r>
          </w:p>
        </w:tc>
        <w:tc>
          <w:tcPr>
            <w:tcW w:w="155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0,2508</w:t>
            </w:r>
          </w:p>
        </w:tc>
        <w:tc>
          <w:tcPr>
            <w:tcW w:w="155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w:t>
            </w:r>
            <w:r>
              <w:rPr>
                <w:sz w:val="19"/>
                <w:szCs w:val="19"/>
              </w:rPr>
              <w:t>5,5%</w:t>
            </w:r>
          </w:p>
        </w:tc>
      </w:tr>
    </w:tbl>
    <w:p w:rsidR="00E879B0" w:rsidRDefault="00D91B08">
      <w:pPr>
        <w:spacing w:before="200" w:after="140" w:line="300" w:lineRule="auto"/>
        <w:jc w:val="both"/>
      </w:pPr>
      <w:r>
        <w:t xml:space="preserve">La línea de base obtiene el menor puntaje de Brier y la mayor exactitud en los cuatro bloques. Ambos modelos tienen BSS negativo en todos los bloques. La GRU supera a la regresión logística en Brier en los bloques 1 y 2, en los que la logística se degrada </w:t>
      </w:r>
      <w:r>
        <w:t>fuertemente (BSS de −26,0% en 2019–2021), pero queda por detrás en los bloques 3 y 4. Los AUC se ubican entre 0,48 y 0,56: la capacidad de ordenar observaciones es apenas superior al azar y no es estable entre bloques.</w:t>
      </w:r>
    </w:p>
    <w:p w:rsidR="00E879B0" w:rsidRDefault="00D91B08">
      <w:pPr>
        <w:pStyle w:val="Ttulo2"/>
      </w:pPr>
      <w:bookmarkStart w:id="21" w:name="_Toc242436806"/>
      <w:r>
        <w:t>7.2 Dinámica de entrenamiento</w:t>
      </w:r>
      <w:bookmarkEnd w:id="21"/>
    </w:p>
    <w:p w:rsidR="00E879B0" w:rsidRDefault="00D91B08">
      <w:pPr>
        <w:keepNext/>
        <w:spacing w:before="120" w:after="60"/>
        <w:jc w:val="center"/>
      </w:pPr>
      <w:r>
        <w:rPr>
          <w:noProof/>
        </w:rPr>
        <w:drawing>
          <wp:inline distT="0" distB="0" distL="0" distR="0">
            <wp:extent cx="5762625" cy="1619250"/>
            <wp:effectExtent l="0" t="0" r="0" b="0"/>
            <wp:docPr id="2" name="fig_curvas.png" descr="fig_curvas.png" title="fig_curv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1619250"/>
                    </a:xfrm>
                    <a:prstGeom prst="rect">
                      <a:avLst/>
                    </a:prstGeom>
                  </pic:spPr>
                </pic:pic>
              </a:graphicData>
            </a:graphic>
          </wp:inline>
        </w:drawing>
      </w:r>
    </w:p>
    <w:p w:rsidR="00E879B0" w:rsidRDefault="00D91B08">
      <w:pPr>
        <w:spacing w:before="60" w:after="240"/>
        <w:jc w:val="center"/>
      </w:pPr>
      <w:r>
        <w:rPr>
          <w:i/>
          <w:iCs/>
          <w:color w:val="6B7280"/>
          <w:sz w:val="19"/>
          <w:szCs w:val="19"/>
        </w:rPr>
        <w:t>Figur</w:t>
      </w:r>
      <w:r>
        <w:rPr>
          <w:i/>
          <w:iCs/>
          <w:color w:val="6B7280"/>
          <w:sz w:val="19"/>
          <w:szCs w:val="19"/>
        </w:rPr>
        <w:t>a 2. Evolución de la pérdida y del AUC en entrenamiento y validación (Fold 4).</w:t>
      </w:r>
    </w:p>
    <w:p w:rsidR="00E879B0" w:rsidRDefault="00D91B08">
      <w:pPr>
        <w:spacing w:after="140" w:line="300" w:lineRule="auto"/>
        <w:jc w:val="both"/>
      </w:pPr>
      <w:r>
        <w:lastRenderedPageBreak/>
        <w:t xml:space="preserve">En los cuatro bloques el entrenamiento llegó al máximo de 10 épocas sin que se activara la parada temprana: la pérdida de validación siguió bajando levemente hasta el final. Al </w:t>
      </w:r>
      <w:r>
        <w:t>mismo tiempo, en el último bloque el AUC de validación cayó de 0,57 a 0,54. El AUC de validación alcanza su máximo en la primera época y luego desciende: la red mejora la pérdida acercando sus probabilidades a la frecuencia de subas más que aprendiendo a d</w:t>
      </w:r>
      <w:r>
        <w:t>istinguir semanas alcistas de bajistas. Como la parada temprana monitorea la pérdida y no el AUC, no detecta esa caída. La pérdida de entrenamiento es mayor que la de validación porque incluye la penalización L2 y se calcula con ruido y dropout activos.</w:t>
      </w:r>
    </w:p>
    <w:p w:rsidR="00E879B0" w:rsidRDefault="00D91B08">
      <w:pPr>
        <w:pStyle w:val="Ttulo2"/>
      </w:pPr>
      <w:bookmarkStart w:id="22" w:name="_Toc242436807"/>
      <w:r>
        <w:t>7.</w:t>
      </w:r>
      <w:r>
        <w:t>3 Calibración</w:t>
      </w:r>
      <w:bookmarkEnd w:id="22"/>
    </w:p>
    <w:p w:rsidR="00E879B0" w:rsidRDefault="00D91B08">
      <w:pPr>
        <w:keepNext/>
        <w:spacing w:before="120" w:after="60"/>
        <w:jc w:val="center"/>
      </w:pPr>
      <w:r>
        <w:rPr>
          <w:noProof/>
        </w:rPr>
        <w:drawing>
          <wp:inline distT="0" distB="0" distL="0" distR="0">
            <wp:extent cx="3600450" cy="3600450"/>
            <wp:effectExtent l="0" t="0" r="0" b="0"/>
            <wp:docPr id="3" name="fig_reliability.png" descr="fig_reliability.png" title="fig_reli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00450" cy="3600450"/>
                    </a:xfrm>
                    <a:prstGeom prst="rect">
                      <a:avLst/>
                    </a:prstGeom>
                  </pic:spPr>
                </pic:pic>
              </a:graphicData>
            </a:graphic>
          </wp:inline>
        </w:drawing>
      </w:r>
    </w:p>
    <w:p w:rsidR="00E879B0" w:rsidRDefault="00D91B08">
      <w:pPr>
        <w:spacing w:before="60" w:after="240"/>
        <w:jc w:val="center"/>
      </w:pPr>
      <w:r>
        <w:rPr>
          <w:i/>
          <w:iCs/>
          <w:color w:val="6B7280"/>
          <w:sz w:val="19"/>
          <w:szCs w:val="19"/>
        </w:rPr>
        <w:t>Figura 3. Diagrama de confiabilidad fuera de muestra (2016–2026).</w:t>
      </w:r>
    </w:p>
    <w:p w:rsidR="00E879B0" w:rsidRDefault="00D91B08">
      <w:pPr>
        <w:spacing w:after="140" w:line="300" w:lineRule="auto"/>
        <w:jc w:val="both"/>
      </w:pPr>
      <w:r>
        <w:t>Las dos curvas son prácticamente horizontales: la frecuencia observada de subas se mantiene cerca de 0,60 en todo el rango de probabilidades predichas (de 0,28 a 0,80 en la logística y de 0,37 a 0,77 en la GRU). Las probabilidades varían, pero esa variació</w:t>
      </w:r>
      <w:r>
        <w:t>n no se asocia con cambios en la frecuencia real: cuando los modelos predicen probabilidades bajas sobrestiman las caídas, y cuando predicen probabilidades altas, las subas. La GRU emite un rango más estrecho, lo que explica su mejor Brier frente a la logí</w:t>
      </w:r>
      <w:r>
        <w:t>stica sin implicar más información.</w:t>
      </w:r>
    </w:p>
    <w:p w:rsidR="00E879B0" w:rsidRDefault="00D91B08">
      <w:pPr>
        <w:spacing w:after="140" w:line="300" w:lineRule="auto"/>
        <w:jc w:val="both"/>
      </w:pPr>
      <w:r>
        <w:t xml:space="preserve">Este comportamiento es una contracción hacia la frecuencia base: la regularización (L2, dropout, ruido gaussiano) y el label smoothing empujan las probabilidades de la GRU hacia la proporción de subas del entrenamiento. </w:t>
      </w:r>
      <w:r>
        <w:t>Esa contracción limita el daño de las predicciones erróneas, y por eso la GRU supera a la logística en Brier; pero mientras las desviaciones respecto de esa frecuencia no contengan información, ningún modelo puede superar a la línea de base, que es exactam</w:t>
      </w:r>
      <w:r>
        <w:t>ente la frecuencia sin desviaciones.</w:t>
      </w:r>
    </w:p>
    <w:p w:rsidR="00E879B0" w:rsidRDefault="00D91B08">
      <w:pPr>
        <w:pStyle w:val="Ttulo2"/>
      </w:pPr>
      <w:bookmarkStart w:id="23" w:name="_Toc242436808"/>
      <w:r>
        <w:lastRenderedPageBreak/>
        <w:t>7.4 Significancia de las diferencias</w:t>
      </w:r>
      <w:bookmarkEnd w:id="23"/>
    </w:p>
    <w:p w:rsidR="00E879B0" w:rsidRDefault="00D91B08">
      <w:pPr>
        <w:keepNext/>
        <w:spacing w:before="200" w:after="80"/>
      </w:pPr>
      <w:r>
        <w:rPr>
          <w:b/>
          <w:bCs/>
          <w:sz w:val="19"/>
          <w:szCs w:val="19"/>
        </w:rPr>
        <w:t>Tabla 7. Diferencias entre modelos con intervalo de confianza del 95% (bootstrap por bloques)</w:t>
      </w:r>
    </w:p>
    <w:tbl>
      <w:tblPr>
        <w:tblW w:w="907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0"/>
        <w:gridCol w:w="1500"/>
        <w:gridCol w:w="2200"/>
        <w:gridCol w:w="2300"/>
      </w:tblGrid>
      <w:tr w:rsidR="00E879B0">
        <w:tblPrEx>
          <w:tblCellMar>
            <w:top w:w="0" w:type="dxa"/>
            <w:bottom w:w="0" w:type="dxa"/>
          </w:tblCellMar>
        </w:tblPrEx>
        <w:trPr>
          <w:tblHeader/>
        </w:trPr>
        <w:tc>
          <w:tcPr>
            <w:tcW w:w="307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r>
              <w:rPr>
                <w:b/>
                <w:bCs/>
                <w:color w:val="FFFFFF"/>
                <w:sz w:val="19"/>
                <w:szCs w:val="19"/>
              </w:rPr>
              <w:t>Comparación</w:t>
            </w:r>
          </w:p>
        </w:tc>
        <w:tc>
          <w:tcPr>
            <w:tcW w:w="150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pPr>
              <w:jc w:val="center"/>
            </w:pPr>
            <w:r>
              <w:rPr>
                <w:b/>
                <w:bCs/>
                <w:color w:val="FFFFFF"/>
                <w:sz w:val="19"/>
                <w:szCs w:val="19"/>
              </w:rPr>
              <w:t>Diferencia</w:t>
            </w:r>
          </w:p>
        </w:tc>
        <w:tc>
          <w:tcPr>
            <w:tcW w:w="220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pPr>
              <w:jc w:val="center"/>
            </w:pPr>
            <w:r>
              <w:rPr>
                <w:b/>
                <w:bCs/>
                <w:color w:val="FFFFFF"/>
                <w:sz w:val="19"/>
                <w:szCs w:val="19"/>
              </w:rPr>
              <w:t>IC 95%</w:t>
            </w:r>
          </w:p>
        </w:tc>
        <w:tc>
          <w:tcPr>
            <w:tcW w:w="230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pPr>
              <w:jc w:val="center"/>
            </w:pPr>
            <w:r>
              <w:rPr>
                <w:b/>
                <w:bCs/>
                <w:color w:val="FFFFFF"/>
                <w:sz w:val="19"/>
                <w:szCs w:val="19"/>
              </w:rPr>
              <w:t>¿Significativa?</w:t>
            </w:r>
          </w:p>
        </w:tc>
      </w:tr>
      <w:tr w:rsidR="00E879B0">
        <w:tblPrEx>
          <w:tblCellMar>
            <w:top w:w="0" w:type="dxa"/>
            <w:bottom w:w="0" w:type="dxa"/>
          </w:tblCellMar>
        </w:tblPrEx>
        <w:trPr>
          <w:cantSplit/>
        </w:trPr>
        <w:tc>
          <w:tcPr>
            <w:tcW w:w="307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AUC: GRU − logística</w:t>
            </w:r>
          </w:p>
        </w:tc>
        <w:tc>
          <w:tcPr>
            <w:tcW w:w="15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+0,005</w:t>
            </w:r>
          </w:p>
        </w:tc>
        <w:tc>
          <w:tcPr>
            <w:tcW w:w="22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[−0,037; +0,046]</w:t>
            </w:r>
          </w:p>
        </w:tc>
        <w:tc>
          <w:tcPr>
            <w:tcW w:w="23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No</w:t>
            </w:r>
          </w:p>
        </w:tc>
      </w:tr>
      <w:tr w:rsidR="00E879B0">
        <w:tblPrEx>
          <w:tblCellMar>
            <w:top w:w="0" w:type="dxa"/>
            <w:bottom w:w="0" w:type="dxa"/>
          </w:tblCellMar>
        </w:tblPrEx>
        <w:trPr>
          <w:cantSplit/>
        </w:trPr>
        <w:tc>
          <w:tcPr>
            <w:tcW w:w="307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t>Brier: GRU − logística</w:t>
            </w:r>
          </w:p>
        </w:tc>
        <w:tc>
          <w:tcPr>
            <w:tcW w:w="15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w:t>
            </w:r>
            <w:r>
              <w:rPr>
                <w:sz w:val="19"/>
                <w:szCs w:val="19"/>
              </w:rPr>
              <w:t>0,0148</w:t>
            </w:r>
          </w:p>
        </w:tc>
        <w:tc>
          <w:tcPr>
            <w:tcW w:w="22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[−0,0281; −0,0026]</w:t>
            </w:r>
          </w:p>
        </w:tc>
        <w:tc>
          <w:tcPr>
            <w:tcW w:w="23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Sí, favorece a la GRU</w:t>
            </w:r>
          </w:p>
        </w:tc>
      </w:tr>
      <w:tr w:rsidR="00E879B0">
        <w:tblPrEx>
          <w:tblCellMar>
            <w:top w:w="0" w:type="dxa"/>
            <w:bottom w:w="0" w:type="dxa"/>
          </w:tblCellMar>
        </w:tblPrEx>
        <w:trPr>
          <w:cantSplit/>
        </w:trPr>
        <w:tc>
          <w:tcPr>
            <w:tcW w:w="307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Brier: GRU − línea de base</w:t>
            </w:r>
          </w:p>
        </w:tc>
        <w:tc>
          <w:tcPr>
            <w:tcW w:w="15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+0,0133</w:t>
            </w:r>
          </w:p>
        </w:tc>
        <w:tc>
          <w:tcPr>
            <w:tcW w:w="22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[+0,0066; +0,0204]</w:t>
            </w:r>
          </w:p>
        </w:tc>
        <w:tc>
          <w:tcPr>
            <w:tcW w:w="23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Sí, favorece a la base</w:t>
            </w:r>
          </w:p>
        </w:tc>
      </w:tr>
      <w:tr w:rsidR="00E879B0">
        <w:tblPrEx>
          <w:tblCellMar>
            <w:top w:w="0" w:type="dxa"/>
            <w:bottom w:w="0" w:type="dxa"/>
          </w:tblCellMar>
        </w:tblPrEx>
        <w:trPr>
          <w:cantSplit/>
        </w:trPr>
        <w:tc>
          <w:tcPr>
            <w:tcW w:w="307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t>Brier: logística − línea de base</w:t>
            </w:r>
          </w:p>
        </w:tc>
        <w:tc>
          <w:tcPr>
            <w:tcW w:w="15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+0,0281</w:t>
            </w:r>
          </w:p>
        </w:tc>
        <w:tc>
          <w:tcPr>
            <w:tcW w:w="22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[+0,0166; +0,0410]</w:t>
            </w:r>
          </w:p>
        </w:tc>
        <w:tc>
          <w:tcPr>
            <w:tcW w:w="23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Sí, favorece a la base</w:t>
            </w:r>
          </w:p>
        </w:tc>
      </w:tr>
    </w:tbl>
    <w:p w:rsidR="00E879B0" w:rsidRDefault="00D91B08">
      <w:pPr>
        <w:spacing w:before="200" w:after="140" w:line="300" w:lineRule="auto"/>
        <w:jc w:val="both"/>
      </w:pPr>
      <w:r>
        <w:t>La GRU tiene un Brier significativamente menor que la regresión logística, pero no hay diferencia significativa en AUC. Frente a la línea de base, ambos modelos son significativamente peores en Brier.</w:t>
      </w:r>
    </w:p>
    <w:p w:rsidR="00E879B0" w:rsidRDefault="00D91B08">
      <w:pPr>
        <w:pStyle w:val="Ttulo2"/>
      </w:pPr>
      <w:bookmarkStart w:id="24" w:name="_Toc242436809"/>
      <w:r>
        <w:t>7.5 Evaluación económica</w:t>
      </w:r>
      <w:bookmarkEnd w:id="24"/>
    </w:p>
    <w:p w:rsidR="00E879B0" w:rsidRDefault="00D91B08">
      <w:pPr>
        <w:keepNext/>
        <w:spacing w:before="200" w:after="80"/>
      </w:pPr>
      <w:r>
        <w:rPr>
          <w:b/>
          <w:bCs/>
          <w:sz w:val="19"/>
          <w:szCs w:val="19"/>
        </w:rPr>
        <w:t>Tabla 8. Desempeño fuera de mu</w:t>
      </w:r>
      <w:r>
        <w:rPr>
          <w:b/>
          <w:bCs/>
          <w:sz w:val="19"/>
          <w:szCs w:val="19"/>
        </w:rPr>
        <w:t>estra con medio Kelly y costos de 5 pb</w:t>
      </w:r>
    </w:p>
    <w:tbl>
      <w:tblPr>
        <w:tblW w:w="907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0"/>
        <w:gridCol w:w="1300"/>
        <w:gridCol w:w="1300"/>
        <w:gridCol w:w="1300"/>
        <w:gridCol w:w="1300"/>
        <w:gridCol w:w="1300"/>
      </w:tblGrid>
      <w:tr w:rsidR="00E879B0">
        <w:tblPrEx>
          <w:tblCellMar>
            <w:top w:w="0" w:type="dxa"/>
            <w:bottom w:w="0" w:type="dxa"/>
          </w:tblCellMar>
        </w:tblPrEx>
        <w:trPr>
          <w:tblHeader/>
        </w:trPr>
        <w:tc>
          <w:tcPr>
            <w:tcW w:w="257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r>
              <w:rPr>
                <w:b/>
                <w:bCs/>
                <w:color w:val="FFFFFF"/>
                <w:sz w:val="19"/>
                <w:szCs w:val="19"/>
              </w:rPr>
              <w:t>Estrategia</w:t>
            </w:r>
          </w:p>
        </w:tc>
        <w:tc>
          <w:tcPr>
            <w:tcW w:w="130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pPr>
              <w:jc w:val="center"/>
            </w:pPr>
            <w:r>
              <w:rPr>
                <w:b/>
                <w:bCs/>
                <w:color w:val="FFFFFF"/>
                <w:sz w:val="19"/>
                <w:szCs w:val="19"/>
              </w:rPr>
              <w:t>Ret. anual</w:t>
            </w:r>
          </w:p>
        </w:tc>
        <w:tc>
          <w:tcPr>
            <w:tcW w:w="130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pPr>
              <w:jc w:val="center"/>
            </w:pPr>
            <w:r>
              <w:rPr>
                <w:b/>
                <w:bCs/>
                <w:color w:val="FFFFFF"/>
                <w:sz w:val="19"/>
                <w:szCs w:val="19"/>
              </w:rPr>
              <w:t>Volatilidad</w:t>
            </w:r>
          </w:p>
        </w:tc>
        <w:tc>
          <w:tcPr>
            <w:tcW w:w="130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pPr>
              <w:jc w:val="center"/>
            </w:pPr>
            <w:r>
              <w:rPr>
                <w:b/>
                <w:bCs/>
                <w:color w:val="FFFFFF"/>
                <w:sz w:val="19"/>
                <w:szCs w:val="19"/>
              </w:rPr>
              <w:t>Sharpe</w:t>
            </w:r>
          </w:p>
        </w:tc>
        <w:tc>
          <w:tcPr>
            <w:tcW w:w="130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pPr>
              <w:jc w:val="center"/>
            </w:pPr>
            <w:r>
              <w:rPr>
                <w:b/>
                <w:bCs/>
                <w:color w:val="FFFFFF"/>
                <w:sz w:val="19"/>
                <w:szCs w:val="19"/>
              </w:rPr>
              <w:t>Máx. caída</w:t>
            </w:r>
          </w:p>
        </w:tc>
        <w:tc>
          <w:tcPr>
            <w:tcW w:w="130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pPr>
              <w:jc w:val="center"/>
            </w:pPr>
            <w:r>
              <w:rPr>
                <w:b/>
                <w:bCs/>
                <w:color w:val="FFFFFF"/>
                <w:sz w:val="19"/>
                <w:szCs w:val="19"/>
              </w:rPr>
              <w:t>Exposición</w:t>
            </w:r>
          </w:p>
        </w:tc>
      </w:tr>
      <w:tr w:rsidR="00E879B0">
        <w:tblPrEx>
          <w:tblCellMar>
            <w:top w:w="0" w:type="dxa"/>
            <w:bottom w:w="0" w:type="dxa"/>
          </w:tblCellMar>
        </w:tblPrEx>
        <w:trPr>
          <w:cantSplit/>
        </w:trPr>
        <w:tc>
          <w:tcPr>
            <w:tcW w:w="257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b/>
                <w:bCs/>
                <w:sz w:val="19"/>
                <w:szCs w:val="19"/>
              </w:rPr>
              <w:t>SPY (comprar y mantener)</w:t>
            </w:r>
          </w:p>
        </w:tc>
        <w:tc>
          <w:tcPr>
            <w:tcW w:w="13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15,3%</w:t>
            </w:r>
          </w:p>
        </w:tc>
        <w:tc>
          <w:tcPr>
            <w:tcW w:w="13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17,7%</w:t>
            </w:r>
          </w:p>
        </w:tc>
        <w:tc>
          <w:tcPr>
            <w:tcW w:w="13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0,86</w:t>
            </w:r>
          </w:p>
        </w:tc>
        <w:tc>
          <w:tcPr>
            <w:tcW w:w="13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w:t>
            </w:r>
            <w:r>
              <w:rPr>
                <w:sz w:val="19"/>
                <w:szCs w:val="19"/>
              </w:rPr>
              <w:t>33,7%</w:t>
            </w:r>
          </w:p>
        </w:tc>
        <w:tc>
          <w:tcPr>
            <w:tcW w:w="13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100%</w:t>
            </w:r>
          </w:p>
        </w:tc>
      </w:tr>
      <w:tr w:rsidR="00E879B0">
        <w:tblPrEx>
          <w:tblCellMar>
            <w:top w:w="0" w:type="dxa"/>
            <w:bottom w:w="0" w:type="dxa"/>
          </w:tblCellMar>
        </w:tblPrEx>
        <w:trPr>
          <w:cantSplit/>
        </w:trPr>
        <w:tc>
          <w:tcPr>
            <w:tcW w:w="257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b/>
                <w:bCs/>
                <w:sz w:val="19"/>
                <w:szCs w:val="19"/>
              </w:rPr>
              <w:t>Regresión logística</w:t>
            </w:r>
          </w:p>
        </w:tc>
        <w:tc>
          <w:tcPr>
            <w:tcW w:w="13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1,2%</w:t>
            </w:r>
          </w:p>
        </w:tc>
        <w:tc>
          <w:tcPr>
            <w:tcW w:w="13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3,2%</w:t>
            </w:r>
          </w:p>
        </w:tc>
        <w:tc>
          <w:tcPr>
            <w:tcW w:w="13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0,37</w:t>
            </w:r>
          </w:p>
        </w:tc>
        <w:tc>
          <w:tcPr>
            <w:tcW w:w="13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w:t>
            </w:r>
            <w:r>
              <w:rPr>
                <w:sz w:val="19"/>
                <w:szCs w:val="19"/>
              </w:rPr>
              <w:t>8,0%</w:t>
            </w:r>
          </w:p>
        </w:tc>
        <w:tc>
          <w:tcPr>
            <w:tcW w:w="13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pPr>
              <w:jc w:val="center"/>
            </w:pPr>
            <w:r>
              <w:rPr>
                <w:sz w:val="19"/>
                <w:szCs w:val="19"/>
              </w:rPr>
              <w:t>11,2%</w:t>
            </w:r>
          </w:p>
        </w:tc>
      </w:tr>
      <w:tr w:rsidR="00E879B0">
        <w:tblPrEx>
          <w:tblCellMar>
            <w:top w:w="0" w:type="dxa"/>
            <w:bottom w:w="0" w:type="dxa"/>
          </w:tblCellMar>
        </w:tblPrEx>
        <w:trPr>
          <w:cantSplit/>
        </w:trPr>
        <w:tc>
          <w:tcPr>
            <w:tcW w:w="257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b/>
                <w:bCs/>
                <w:sz w:val="19"/>
                <w:szCs w:val="19"/>
              </w:rPr>
              <w:t>GRU</w:t>
            </w:r>
          </w:p>
        </w:tc>
        <w:tc>
          <w:tcPr>
            <w:tcW w:w="13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1,3%</w:t>
            </w:r>
          </w:p>
        </w:tc>
        <w:tc>
          <w:tcPr>
            <w:tcW w:w="13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2,0%</w:t>
            </w:r>
          </w:p>
        </w:tc>
        <w:tc>
          <w:tcPr>
            <w:tcW w:w="13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0,63</w:t>
            </w:r>
          </w:p>
        </w:tc>
        <w:tc>
          <w:tcPr>
            <w:tcW w:w="13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w:t>
            </w:r>
            <w:r>
              <w:rPr>
                <w:sz w:val="19"/>
                <w:szCs w:val="19"/>
              </w:rPr>
              <w:t>4,4%</w:t>
            </w:r>
          </w:p>
        </w:tc>
        <w:tc>
          <w:tcPr>
            <w:tcW w:w="13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pPr>
              <w:jc w:val="center"/>
            </w:pPr>
            <w:r>
              <w:rPr>
                <w:sz w:val="19"/>
                <w:szCs w:val="19"/>
              </w:rPr>
              <w:t>10,6%</w:t>
            </w:r>
          </w:p>
        </w:tc>
      </w:tr>
    </w:tbl>
    <w:p w:rsidR="00E879B0" w:rsidRDefault="00D91B08">
      <w:pPr>
        <w:keepNext/>
        <w:spacing w:before="120" w:after="60"/>
        <w:jc w:val="center"/>
      </w:pPr>
      <w:r>
        <w:rPr>
          <w:noProof/>
        </w:rPr>
        <w:drawing>
          <wp:inline distT="0" distB="0" distL="0" distR="0">
            <wp:extent cx="5762625" cy="3276600"/>
            <wp:effectExtent l="0" t="0" r="0" b="0"/>
            <wp:docPr id="4" name="fig_equity.png" descr="fig_equity.png" title="fig_equ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276600"/>
                    </a:xfrm>
                    <a:prstGeom prst="rect">
                      <a:avLst/>
                    </a:prstGeom>
                  </pic:spPr>
                </pic:pic>
              </a:graphicData>
            </a:graphic>
          </wp:inline>
        </w:drawing>
      </w:r>
    </w:p>
    <w:p w:rsidR="00E879B0" w:rsidRDefault="00D91B08">
      <w:pPr>
        <w:spacing w:before="60" w:after="240"/>
        <w:jc w:val="center"/>
      </w:pPr>
      <w:r>
        <w:rPr>
          <w:i/>
          <w:iCs/>
          <w:color w:val="6B7280"/>
          <w:sz w:val="19"/>
          <w:szCs w:val="19"/>
        </w:rPr>
        <w:t>Figura 4. Curvas de capital y caída desde máximos fuera de muestra.</w:t>
      </w:r>
    </w:p>
    <w:p w:rsidR="00E879B0" w:rsidRDefault="00D91B08">
      <w:pPr>
        <w:spacing w:after="140" w:line="300" w:lineRule="auto"/>
        <w:jc w:val="both"/>
      </w:pPr>
      <w:r>
        <w:t xml:space="preserve">Las caídas máximas de las estrategias son mucho menores que las de SPY, pero no por capacidad predictiva: con medio Kelly y probabilidades cercanas a 0,6, la exposición media es de apenas </w:t>
      </w:r>
      <w:r>
        <w:t>el 11%. Con ese nivel de inversión, ambas estrategias tienen un ratio de Sharpe inferior al de mantener SPY (0,63 y 0,37 frente a 0,86). La evaluación no muestra valor económico de ninguno de los modelos frente a la alternativa pasiva.</w:t>
      </w:r>
    </w:p>
    <w:p w:rsidR="00E879B0" w:rsidRDefault="00D91B08">
      <w:pPr>
        <w:pStyle w:val="Ttulo1"/>
      </w:pPr>
      <w:bookmarkStart w:id="25" w:name="_Toc242436810"/>
      <w:r>
        <w:lastRenderedPageBreak/>
        <w:t>8. Discusión</w:t>
      </w:r>
      <w:bookmarkEnd w:id="25"/>
    </w:p>
    <w:p w:rsidR="00E879B0" w:rsidRDefault="00D91B08">
      <w:pPr>
        <w:spacing w:after="140" w:line="300" w:lineRule="auto"/>
        <w:jc w:val="both"/>
      </w:pPr>
      <w:r>
        <w:t>La inte</w:t>
      </w:r>
      <w:r>
        <w:t>rpretación de los resultados se organiza en torno a tres preguntas.</w:t>
      </w:r>
    </w:p>
    <w:p w:rsidR="00E879B0" w:rsidRDefault="00D91B08">
      <w:pPr>
        <w:spacing w:after="140" w:line="300" w:lineRule="auto"/>
        <w:jc w:val="both"/>
      </w:pPr>
      <w:r>
        <w:rPr>
          <w:b/>
          <w:bCs/>
        </w:rPr>
        <w:t xml:space="preserve">¿Supera algún modelo a la línea de base? </w:t>
      </w:r>
      <w:r>
        <w:t xml:space="preserve">No. Ambos modelos tienen BSS negativo en los cuatro bloques y sus diferencias de Brier frente a la línea de base son significativas en contra. Sus </w:t>
      </w:r>
      <w:r>
        <w:t>AUC apenas superan 0,5, y la GRU queda por debajo de 0,5 en el último bloque. Con estas variables y este horizonte, la mejor estimación disponible de la probabilidad de suba a cinco ruedas es la frecuencia histórica. El resultado es coherente con la eviden</w:t>
      </w:r>
      <w:r>
        <w:t>cia sobre mercados líquidos: en horizontes cortos casi toda la variación de precios es impredecible con información pública, a diferencia de tareas como la clasificación de imágenes, donde la señal es estable y domina el ruido. Por eso, en este dominio, un</w:t>
      </w:r>
      <w:r>
        <w:t>a exactitud o un AUC muy altos son más un indicio de fuga de información que de un buen modelo.</w:t>
      </w:r>
    </w:p>
    <w:p w:rsidR="00E879B0" w:rsidRDefault="00D91B08">
      <w:pPr>
        <w:spacing w:after="140" w:line="300" w:lineRule="auto"/>
        <w:jc w:val="both"/>
      </w:pPr>
      <w:r>
        <w:rPr>
          <w:b/>
          <w:bCs/>
        </w:rPr>
        <w:t xml:space="preserve">¿Aporta la estructura secuencial? </w:t>
      </w:r>
      <w:r>
        <w:t>Solo en calibración. La GRU está significativamente mejor calibrada que la regresión logística, pero no discrimina mejor: la d</w:t>
      </w:r>
      <w:r>
        <w:t>iferencia de AUC es de 0,005 y su intervalo contiene el cero. La ventaja proviene de probabilidades más conservadoras, concentradas cerca de la frecuencia base, y no de información adicional extraída de la secuencia de 20 ruedas.</w:t>
      </w:r>
    </w:p>
    <w:p w:rsidR="00E879B0" w:rsidRDefault="00D91B08">
      <w:pPr>
        <w:spacing w:after="140" w:line="300" w:lineRule="auto"/>
        <w:jc w:val="both"/>
      </w:pPr>
      <w:r>
        <w:rPr>
          <w:b/>
          <w:bCs/>
        </w:rPr>
        <w:t>¿Qué implica para AlphaTQ?</w:t>
      </w:r>
      <w:r>
        <w:rPr>
          <w:b/>
          <w:bCs/>
        </w:rPr>
        <w:t xml:space="preserve"> </w:t>
      </w:r>
      <w:r>
        <w:t>En la arquitectura de AlphaTQ (Figura 5), un modelo de este tipo se ubicaría en la capa de percepción y su probabilidad sería consumida por la capa de riesgo para dimensionar posiciones. Los resultados no justifican usar la probabilidad de la GRU como señ</w:t>
      </w:r>
      <w:r>
        <w:t>al direccional: entre los modelos evaluados, la frecuencia histórica es la mejor estimación. Si se incorpora, debería ser recalibrada y con un peso acotado. El experimento respalda el diseño en el que la capa de ejecución permanece determinista y aislada d</w:t>
      </w:r>
      <w:r>
        <w:t>el modelo.</w:t>
      </w:r>
    </w:p>
    <w:p w:rsidR="00E879B0" w:rsidRDefault="00D91B08">
      <w:pPr>
        <w:keepNext/>
        <w:spacing w:before="120" w:after="60"/>
        <w:jc w:val="center"/>
      </w:pPr>
      <w:r>
        <w:rPr>
          <w:noProof/>
        </w:rPr>
        <w:drawing>
          <wp:inline distT="0" distB="0" distL="0" distR="0">
            <wp:extent cx="4676775" cy="3324225"/>
            <wp:effectExtent l="0" t="0" r="0" b="0"/>
            <wp:docPr id="5" name="fig_arquitectura.png" descr="fig_arquitectura.png" title="fig_arquitec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76775" cy="3324225"/>
                    </a:xfrm>
                    <a:prstGeom prst="rect">
                      <a:avLst/>
                    </a:prstGeom>
                  </pic:spPr>
                </pic:pic>
              </a:graphicData>
            </a:graphic>
          </wp:inline>
        </w:drawing>
      </w:r>
    </w:p>
    <w:p w:rsidR="00E879B0" w:rsidRDefault="00D91B08">
      <w:pPr>
        <w:spacing w:before="60" w:after="240"/>
        <w:jc w:val="center"/>
      </w:pPr>
      <w:r>
        <w:rPr>
          <w:i/>
          <w:iCs/>
          <w:color w:val="6B7280"/>
          <w:sz w:val="19"/>
          <w:szCs w:val="19"/>
        </w:rPr>
        <w:t>Figura 5. Capas funcionales de AlphaTQ y ubicación propuesta del modelo.</w:t>
      </w:r>
    </w:p>
    <w:p w:rsidR="00E879B0" w:rsidRDefault="00D91B08">
      <w:pPr>
        <w:pStyle w:val="Ttulo1"/>
      </w:pPr>
      <w:bookmarkStart w:id="26" w:name="_Toc242436811"/>
      <w:r>
        <w:lastRenderedPageBreak/>
        <w:t>9. Limitaciones</w:t>
      </w:r>
      <w:bookmarkEnd w:id="26"/>
    </w:p>
    <w:p w:rsidR="00E879B0" w:rsidRDefault="00D91B08">
      <w:pPr>
        <w:pStyle w:val="Prrafodelista"/>
        <w:numPr>
          <w:ilvl w:val="0"/>
          <w:numId w:val="3"/>
        </w:numPr>
        <w:spacing w:after="80" w:line="290" w:lineRule="auto"/>
      </w:pPr>
      <w:r>
        <w:rPr>
          <w:b/>
          <w:bCs/>
        </w:rPr>
        <w:t xml:space="preserve">Un solo activo objetivo y un solo horizonte. </w:t>
      </w:r>
      <w:r>
        <w:t>Los resultados no se generalizan a otros mercados, activos u horizontes.</w:t>
      </w:r>
    </w:p>
    <w:p w:rsidR="00E879B0" w:rsidRDefault="00D91B08">
      <w:pPr>
        <w:pStyle w:val="Prrafodelista"/>
        <w:numPr>
          <w:ilvl w:val="0"/>
          <w:numId w:val="3"/>
        </w:numPr>
        <w:spacing w:after="80" w:line="290" w:lineRule="auto"/>
      </w:pPr>
      <w:r>
        <w:rPr>
          <w:b/>
          <w:bCs/>
        </w:rPr>
        <w:t xml:space="preserve">Una sola semilla. </w:t>
      </w:r>
      <w:r>
        <w:t>No se estimó la variabilidad entre inicializaciones; con señales débiles, la diferencia entre semillas puede ser comparable a la diferencia entre modelos.</w:t>
      </w:r>
    </w:p>
    <w:p w:rsidR="00E879B0" w:rsidRDefault="00D91B08">
      <w:pPr>
        <w:pStyle w:val="Prrafodelista"/>
        <w:numPr>
          <w:ilvl w:val="0"/>
          <w:numId w:val="3"/>
        </w:numPr>
        <w:spacing w:after="80" w:line="290" w:lineRule="auto"/>
      </w:pPr>
      <w:r>
        <w:rPr>
          <w:b/>
          <w:bCs/>
        </w:rPr>
        <w:t xml:space="preserve">Criterio de parada temprana. </w:t>
      </w:r>
      <w:r>
        <w:t>La parada temprana, que monitorea la pérdida de validación, no se activó</w:t>
      </w:r>
      <w:r>
        <w:t xml:space="preserve"> en ningún bloque: la pérdida siguió bajando hasta la época 10 mientras el AUC de validación caía desde la primera. El resultado de la GRU puede depender de ese criterio y del número de épocas.</w:t>
      </w:r>
    </w:p>
    <w:p w:rsidR="00E879B0" w:rsidRDefault="00D91B08">
      <w:pPr>
        <w:pStyle w:val="Prrafodelista"/>
        <w:numPr>
          <w:ilvl w:val="0"/>
          <w:numId w:val="3"/>
        </w:numPr>
        <w:spacing w:after="80" w:line="290" w:lineRule="auto"/>
      </w:pPr>
      <w:r>
        <w:rPr>
          <w:b/>
          <w:bCs/>
        </w:rPr>
        <w:t xml:space="preserve">Hiperparámetros no optimizados. </w:t>
      </w:r>
      <w:r>
        <w:t>La arquitectura se fijó a prio</w:t>
      </w:r>
      <w:r>
        <w:t>ri para limitar el sobreajuste, sin búsqueda sistemática con validación anidada.</w:t>
      </w:r>
    </w:p>
    <w:p w:rsidR="00E879B0" w:rsidRDefault="00D91B08">
      <w:pPr>
        <w:pStyle w:val="Prrafodelista"/>
        <w:numPr>
          <w:ilvl w:val="0"/>
          <w:numId w:val="3"/>
        </w:numPr>
        <w:spacing w:after="80" w:line="290" w:lineRule="auto"/>
      </w:pPr>
      <w:r>
        <w:rPr>
          <w:b/>
          <w:bCs/>
        </w:rPr>
        <w:t xml:space="preserve">Muestra efectiva reducida. </w:t>
      </w:r>
      <w:r>
        <w:t>El solapamiento de etiquetas a cinco ruedas reduce la cantidad de observaciones independientes a aproximadamente una quinta parte del total.</w:t>
      </w:r>
    </w:p>
    <w:p w:rsidR="00E879B0" w:rsidRDefault="00D91B08">
      <w:pPr>
        <w:pStyle w:val="Prrafodelista"/>
        <w:numPr>
          <w:ilvl w:val="0"/>
          <w:numId w:val="3"/>
        </w:numPr>
        <w:spacing w:after="80" w:line="290" w:lineRule="auto"/>
      </w:pPr>
      <w:r>
        <w:rPr>
          <w:b/>
          <w:bCs/>
        </w:rPr>
        <w:t xml:space="preserve">Fuente </w:t>
      </w:r>
      <w:r>
        <w:rPr>
          <w:b/>
          <w:bCs/>
        </w:rPr>
        <w:t xml:space="preserve">de datos. </w:t>
      </w:r>
      <w:r>
        <w:t>yfinance no es una fuente oficial ni licenciada; puede contener ajustes o faltantes no documentados.</w:t>
      </w:r>
    </w:p>
    <w:p w:rsidR="00E879B0" w:rsidRDefault="00D91B08">
      <w:pPr>
        <w:pStyle w:val="Prrafodelista"/>
        <w:numPr>
          <w:ilvl w:val="0"/>
          <w:numId w:val="3"/>
        </w:numPr>
        <w:spacing w:after="80" w:line="290" w:lineRule="auto"/>
      </w:pPr>
      <w:r>
        <w:rPr>
          <w:b/>
          <w:bCs/>
        </w:rPr>
        <w:t xml:space="preserve">Evaluación económica simplificada. </w:t>
      </w:r>
      <w:r>
        <w:t>Solo posiciones compradas, costos fijos y sin impuestos ni deslizamiento adicional.</w:t>
      </w:r>
    </w:p>
    <w:p w:rsidR="00E879B0" w:rsidRDefault="00D91B08">
      <w:pPr>
        <w:pStyle w:val="Prrafodelista"/>
        <w:numPr>
          <w:ilvl w:val="0"/>
          <w:numId w:val="3"/>
        </w:numPr>
        <w:spacing w:after="80" w:line="290" w:lineRule="auto"/>
      </w:pPr>
      <w:r>
        <w:rPr>
          <w:b/>
          <w:bCs/>
        </w:rPr>
        <w:t xml:space="preserve">Representación latente no </w:t>
      </w:r>
      <w:r>
        <w:rPr>
          <w:b/>
          <w:bCs/>
        </w:rPr>
        <w:t xml:space="preserve">analizada. </w:t>
      </w:r>
      <w:r>
        <w:t>El vector z_t de 16 dimensiones no se estudió; cualquier interpretación de sus dimensiones requiere un análisis específico.</w:t>
      </w:r>
    </w:p>
    <w:p w:rsidR="00E879B0" w:rsidRDefault="00D91B08">
      <w:pPr>
        <w:pStyle w:val="Ttulo1"/>
      </w:pPr>
      <w:bookmarkStart w:id="27" w:name="_Toc242436812"/>
      <w:r>
        <w:t>10. Conclusiones y trabajo futuro</w:t>
      </w:r>
      <w:bookmarkEnd w:id="27"/>
    </w:p>
    <w:p w:rsidR="00E879B0" w:rsidRDefault="00D91B08">
      <w:pPr>
        <w:spacing w:after="140" w:line="300" w:lineRule="auto"/>
        <w:jc w:val="both"/>
      </w:pPr>
      <w:r>
        <w:t xml:space="preserve">La respuesta a la pregunta de investigación es negativa respecto de la línea de base y </w:t>
      </w:r>
      <w:r>
        <w:t>parcial respecto de la regresión logística. Frente a la logística se rechaza H₀ en calibración: la GRU obtiene un Brier de 0,2508 frente a 0,2656 (diferencia −0,015; IC 95% [−0,028; −0,003]), sin diferencia significativa en AUC. Frente a la línea de base n</w:t>
      </w:r>
      <w:r>
        <w:t>o se rechaza H₀: su Brier de 0,2376 es significativamente menor que el de ambos modelos, cuyo BSS es negativo (−5,5% la GRU y −12,0% la logística).</w:t>
      </w:r>
    </w:p>
    <w:p w:rsidR="00E879B0" w:rsidRDefault="00D91B08">
      <w:pPr>
        <w:spacing w:after="140" w:line="300" w:lineRule="auto"/>
        <w:jc w:val="both"/>
      </w:pPr>
      <w:r>
        <w:t>En problemas financieros de baja señal, la elección del protocolo de evaluación pesa tanto como la elección del modelo. Sin validación temporal, purga y una línea de base adecuada, es fácil sobreestimar el valor de una red neuronal.</w:t>
      </w:r>
    </w:p>
    <w:p w:rsidR="00E879B0" w:rsidRDefault="00D91B08">
      <w:pPr>
        <w:spacing w:after="140" w:line="300" w:lineRule="auto"/>
        <w:jc w:val="both"/>
      </w:pPr>
      <w:r>
        <w:t xml:space="preserve">Como trabajo futuro se </w:t>
      </w:r>
      <w:r>
        <w:t>proponen:</w:t>
      </w:r>
    </w:p>
    <w:p w:rsidR="00E879B0" w:rsidRDefault="00D91B08">
      <w:pPr>
        <w:pStyle w:val="Prrafodelista"/>
        <w:numPr>
          <w:ilvl w:val="0"/>
          <w:numId w:val="3"/>
        </w:numPr>
        <w:spacing w:after="80" w:line="290" w:lineRule="auto"/>
      </w:pPr>
      <w:r>
        <w:t>repetir el experimento con múltiples semillas y ensambles para estimar la variabilidad del resultado;</w:t>
      </w:r>
    </w:p>
    <w:p w:rsidR="00E879B0" w:rsidRDefault="00D91B08">
      <w:pPr>
        <w:pStyle w:val="Prrafodelista"/>
        <w:numPr>
          <w:ilvl w:val="0"/>
          <w:numId w:val="3"/>
        </w:numPr>
        <w:spacing w:after="80" w:line="290" w:lineRule="auto"/>
      </w:pPr>
      <w:r>
        <w:t>revisar el criterio de parada temprana: monitorear el AUC o el Brier de validación, que empeoran desde la primera época, además de la pérdida;</w:t>
      </w:r>
    </w:p>
    <w:p w:rsidR="00E879B0" w:rsidRDefault="00D91B08">
      <w:pPr>
        <w:pStyle w:val="Prrafodelista"/>
        <w:numPr>
          <w:ilvl w:val="0"/>
          <w:numId w:val="3"/>
        </w:numPr>
        <w:spacing w:after="80" w:line="290" w:lineRule="auto"/>
      </w:pPr>
      <w:r>
        <w:t>a</w:t>
      </w:r>
      <w:r>
        <w:t>plicar calibración posterior (escalado de Platt o regresión isotónica) ajustada en un bloque de validación;</w:t>
      </w:r>
    </w:p>
    <w:p w:rsidR="00E879B0" w:rsidRDefault="00D91B08">
      <w:pPr>
        <w:pStyle w:val="Prrafodelista"/>
        <w:numPr>
          <w:ilvl w:val="0"/>
          <w:numId w:val="3"/>
        </w:numPr>
        <w:spacing w:after="80" w:line="290" w:lineRule="auto"/>
      </w:pPr>
      <w:r>
        <w:t>analizar el vector latente z_t y su relación con medidas de volatilidad y régimen;</w:t>
      </w:r>
    </w:p>
    <w:p w:rsidR="00E879B0" w:rsidRDefault="00D91B08">
      <w:pPr>
        <w:pStyle w:val="Prrafodelista"/>
        <w:numPr>
          <w:ilvl w:val="0"/>
          <w:numId w:val="3"/>
        </w:numPr>
        <w:spacing w:after="80" w:line="290" w:lineRule="auto"/>
      </w:pPr>
      <w:r>
        <w:lastRenderedPageBreak/>
        <w:t xml:space="preserve">evaluar arquitecturas con atención (por ejemplo, Temporal Fusion </w:t>
      </w:r>
      <w:r>
        <w:t>Transformers) y otros activos y horizontes.</w:t>
      </w:r>
    </w:p>
    <w:p w:rsidR="00E879B0" w:rsidRDefault="00D91B08">
      <w:pPr>
        <w:pStyle w:val="Ttulo1"/>
      </w:pPr>
      <w:bookmarkStart w:id="28" w:name="_Toc242436813"/>
      <w:r>
        <w:t>Referencias</w:t>
      </w:r>
      <w:bookmarkEnd w:id="28"/>
    </w:p>
    <w:p w:rsidR="00E879B0" w:rsidRDefault="00D91B08">
      <w:pPr>
        <w:spacing w:after="100" w:line="276" w:lineRule="auto"/>
        <w:ind w:left="567" w:hanging="567"/>
      </w:pPr>
      <w:r>
        <w:rPr>
          <w:sz w:val="20"/>
          <w:szCs w:val="20"/>
        </w:rPr>
        <w:t>Brier, G. W. (1950). Verification of forecasts expressed in terms of probability. Monthly Weather Review, 78(1), 1–3.</w:t>
      </w:r>
    </w:p>
    <w:p w:rsidR="00E879B0" w:rsidRDefault="00D91B08">
      <w:pPr>
        <w:spacing w:after="100" w:line="276" w:lineRule="auto"/>
        <w:ind w:left="567" w:hanging="567"/>
      </w:pPr>
      <w:r>
        <w:rPr>
          <w:sz w:val="20"/>
          <w:szCs w:val="20"/>
        </w:rPr>
        <w:t>Cho, K., van Merriënboer, B., Gulcehre, C., Bahdanau, D., Bougares, F., Schwenk, H</w:t>
      </w:r>
      <w:r>
        <w:rPr>
          <w:sz w:val="20"/>
          <w:szCs w:val="20"/>
        </w:rPr>
        <w:t>., y Bengio, Y. (2014). Learning phrase representations using RNN encoder–decoder for statistical machine translation. Proceedings of EMNLP 2014, 1724–1734.</w:t>
      </w:r>
    </w:p>
    <w:p w:rsidR="00E879B0" w:rsidRDefault="00D91B08">
      <w:pPr>
        <w:spacing w:after="100" w:line="276" w:lineRule="auto"/>
        <w:ind w:left="567" w:hanging="567"/>
      </w:pPr>
      <w:r>
        <w:rPr>
          <w:sz w:val="20"/>
          <w:szCs w:val="20"/>
        </w:rPr>
        <w:t xml:space="preserve">Fischer, T., y Krauss, C. (2018). Deep learning with long short-term memory networks for financial </w:t>
      </w:r>
      <w:r>
        <w:rPr>
          <w:sz w:val="20"/>
          <w:szCs w:val="20"/>
        </w:rPr>
        <w:t>market predictions. European Journal of Operational Research, 270(2), 654–669.</w:t>
      </w:r>
    </w:p>
    <w:p w:rsidR="00E879B0" w:rsidRDefault="00D91B08">
      <w:pPr>
        <w:spacing w:after="100" w:line="276" w:lineRule="auto"/>
        <w:ind w:left="567" w:hanging="567"/>
      </w:pPr>
      <w:r>
        <w:rPr>
          <w:sz w:val="20"/>
          <w:szCs w:val="20"/>
        </w:rPr>
        <w:t>Gneiting, T., y Raftery, A. E. (2007). Strictly proper scoring rules, prediction, and estimation. Journal of the American Statistical Association, 102(477), 359–378.</w:t>
      </w:r>
    </w:p>
    <w:p w:rsidR="00E879B0" w:rsidRDefault="00D91B08">
      <w:pPr>
        <w:spacing w:after="100" w:line="276" w:lineRule="auto"/>
        <w:ind w:left="567" w:hanging="567"/>
      </w:pPr>
      <w:r>
        <w:rPr>
          <w:sz w:val="20"/>
          <w:szCs w:val="20"/>
        </w:rPr>
        <w:t>Guo, C., Pleiss, G., Sun, Y., y Weinberger, K. Q. (2017). On calibration of modern neural networks. Proceedings of ICML 2017, 1321–1330.</w:t>
      </w:r>
    </w:p>
    <w:p w:rsidR="00E879B0" w:rsidRDefault="00D91B08">
      <w:pPr>
        <w:spacing w:after="100" w:line="276" w:lineRule="auto"/>
        <w:ind w:left="567" w:hanging="567"/>
      </w:pPr>
      <w:r>
        <w:rPr>
          <w:sz w:val="20"/>
          <w:szCs w:val="20"/>
        </w:rPr>
        <w:t>Hochreiter, S., y Schmidhuber, J. (1997). Long short-term memory. Neural Computation, 9(8), 1735–1780.</w:t>
      </w:r>
    </w:p>
    <w:p w:rsidR="00E879B0" w:rsidRDefault="00D91B08">
      <w:pPr>
        <w:spacing w:after="100" w:line="276" w:lineRule="auto"/>
        <w:ind w:left="567" w:hanging="567"/>
      </w:pPr>
      <w:r>
        <w:rPr>
          <w:sz w:val="20"/>
          <w:szCs w:val="20"/>
        </w:rPr>
        <w:t>Kelly, J. L. (19</w:t>
      </w:r>
      <w:r>
        <w:rPr>
          <w:sz w:val="20"/>
          <w:szCs w:val="20"/>
        </w:rPr>
        <w:t>56). A new interpretation of information rate. Bell System Technical Journal, 35(4), 917–926.</w:t>
      </w:r>
    </w:p>
    <w:p w:rsidR="00E879B0" w:rsidRDefault="00D91B08">
      <w:pPr>
        <w:spacing w:after="100" w:line="276" w:lineRule="auto"/>
        <w:ind w:left="567" w:hanging="567"/>
      </w:pPr>
      <w:r>
        <w:rPr>
          <w:sz w:val="20"/>
          <w:szCs w:val="20"/>
        </w:rPr>
        <w:t>Künsch, H. R. (1989). The jackknife and the bootstrap for general stationary observations. The Annals of Statistics, 17(3), 1217–1241.</w:t>
      </w:r>
    </w:p>
    <w:p w:rsidR="00E879B0" w:rsidRDefault="00D91B08">
      <w:pPr>
        <w:spacing w:after="100" w:line="276" w:lineRule="auto"/>
        <w:ind w:left="567" w:hanging="567"/>
      </w:pPr>
      <w:r>
        <w:rPr>
          <w:sz w:val="20"/>
          <w:szCs w:val="20"/>
        </w:rPr>
        <w:t xml:space="preserve">López de Prado, M. (2018). </w:t>
      </w:r>
      <w:r>
        <w:rPr>
          <w:sz w:val="20"/>
          <w:szCs w:val="20"/>
        </w:rPr>
        <w:t>Advances in financial machine learning. Wiley.</w:t>
      </w:r>
    </w:p>
    <w:p w:rsidR="00E879B0" w:rsidRDefault="00D91B08">
      <w:pPr>
        <w:spacing w:after="100" w:line="276" w:lineRule="auto"/>
        <w:ind w:left="567" w:hanging="567"/>
      </w:pPr>
      <w:r>
        <w:rPr>
          <w:sz w:val="20"/>
          <w:szCs w:val="20"/>
        </w:rPr>
        <w:t>Müller, R., Kornblith, S., y Hinton, G. (2019). When does label smoothing help? Advances in Neural Information Processing Systems 32.</w:t>
      </w:r>
    </w:p>
    <w:p w:rsidR="00E879B0" w:rsidRDefault="00D91B08">
      <w:pPr>
        <w:pStyle w:val="Ttulo1"/>
      </w:pPr>
      <w:bookmarkStart w:id="29" w:name="_Toc242436814"/>
      <w:r>
        <w:t>Anexo A. Reproducibilidad</w:t>
      </w:r>
      <w:bookmarkEnd w:id="29"/>
    </w:p>
    <w:p w:rsidR="00E879B0" w:rsidRDefault="00D91B08">
      <w:pPr>
        <w:spacing w:after="140" w:line="300" w:lineRule="auto"/>
      </w:pPr>
      <w:r>
        <w:t xml:space="preserve">El código se encuentra en el notebook </w:t>
      </w:r>
      <w:r>
        <w:rPr>
          <w:i/>
          <w:iCs/>
        </w:rPr>
        <w:t>Deep_Market</w:t>
      </w:r>
      <w:r>
        <w:rPr>
          <w:i/>
          <w:iCs/>
        </w:rPr>
        <w:t>_Representation_Learning_Lab_AlphaTQ_CORREGIDO.ipynb</w:t>
      </w:r>
      <w:r>
        <w:t>. Los resultados de este informe se obtuvieron ejecutándolo en Google Colab con entorno CPU. Para reproducirlos: abrirlo en Google Colab, ejecutar todas las celdas en orden y conservar el archivo reproduc</w:t>
      </w:r>
      <w:r>
        <w:t>ibility_manifest.json que se genera al final.</w:t>
      </w:r>
    </w:p>
    <w:p w:rsidR="00E879B0" w:rsidRDefault="00D91B08">
      <w:pPr>
        <w:keepNext/>
        <w:spacing w:before="200" w:after="80"/>
      </w:pPr>
      <w:r>
        <w:rPr>
          <w:b/>
          <w:bCs/>
          <w:sz w:val="19"/>
          <w:szCs w:val="19"/>
        </w:rPr>
        <w:t>Tabla A1. Entorno de ejecución</w:t>
      </w:r>
    </w:p>
    <w:tbl>
      <w:tblPr>
        <w:tblW w:w="907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0"/>
      </w:tblGrid>
      <w:tr w:rsidR="00E879B0">
        <w:tblPrEx>
          <w:tblCellMar>
            <w:top w:w="0" w:type="dxa"/>
            <w:bottom w:w="0" w:type="dxa"/>
          </w:tblCellMar>
        </w:tblPrEx>
        <w:trPr>
          <w:tblHeader/>
        </w:trPr>
        <w:tc>
          <w:tcPr>
            <w:tcW w:w="300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r>
              <w:rPr>
                <w:b/>
                <w:bCs/>
                <w:color w:val="FFFFFF"/>
                <w:sz w:val="19"/>
                <w:szCs w:val="19"/>
              </w:rPr>
              <w:t>Elemento</w:t>
            </w:r>
          </w:p>
        </w:tc>
        <w:tc>
          <w:tcPr>
            <w:tcW w:w="6070" w:type="dxa"/>
            <w:tcBorders>
              <w:top w:val="single" w:sz="4" w:space="0" w:color="D5DADF"/>
              <w:left w:val="none" w:sz="0" w:space="0" w:color="FFFFFF"/>
              <w:bottom w:val="single" w:sz="4" w:space="0" w:color="D5DADF"/>
              <w:right w:val="none" w:sz="0" w:space="0" w:color="FFFFFF"/>
            </w:tcBorders>
            <w:shd w:val="clear" w:color="auto" w:fill="0F5257"/>
            <w:tcMar>
              <w:top w:w="70" w:type="dxa"/>
              <w:left w:w="110" w:type="dxa"/>
              <w:bottom w:w="70" w:type="dxa"/>
              <w:right w:w="110" w:type="dxa"/>
            </w:tcMar>
            <w:vAlign w:val="center"/>
          </w:tcPr>
          <w:p w:rsidR="00E879B0" w:rsidRDefault="00D91B08">
            <w:r>
              <w:rPr>
                <w:b/>
                <w:bCs/>
                <w:color w:val="FFFFFF"/>
                <w:sz w:val="19"/>
                <w:szCs w:val="19"/>
              </w:rPr>
              <w:t>Valor</w:t>
            </w:r>
          </w:p>
        </w:tc>
      </w:tr>
      <w:tr w:rsidR="00E879B0">
        <w:tblPrEx>
          <w:tblCellMar>
            <w:top w:w="0" w:type="dxa"/>
            <w:bottom w:w="0" w:type="dxa"/>
          </w:tblCellMar>
        </w:tblPrEx>
        <w:trPr>
          <w:cantSplit/>
        </w:trPr>
        <w:tc>
          <w:tcPr>
            <w:tcW w:w="30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b/>
                <w:bCs/>
                <w:sz w:val="19"/>
                <w:szCs w:val="19"/>
              </w:rPr>
              <w:t>Semilla</w:t>
            </w:r>
          </w:p>
        </w:tc>
        <w:tc>
          <w:tcPr>
            <w:tcW w:w="607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42 (operaciones deterministas de TensorFlow activadas)</w:t>
            </w:r>
          </w:p>
        </w:tc>
      </w:tr>
      <w:tr w:rsidR="00E879B0">
        <w:tblPrEx>
          <w:tblCellMar>
            <w:top w:w="0" w:type="dxa"/>
            <w:bottom w:w="0" w:type="dxa"/>
          </w:tblCellMar>
        </w:tblPrEx>
        <w:trPr>
          <w:cantSplit/>
        </w:trPr>
        <w:tc>
          <w:tcPr>
            <w:tcW w:w="30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b/>
                <w:bCs/>
                <w:sz w:val="19"/>
                <w:szCs w:val="19"/>
              </w:rPr>
              <w:t>Datos</w:t>
            </w:r>
          </w:p>
        </w:tc>
        <w:tc>
          <w:tcPr>
            <w:tcW w:w="607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t>yfinance, precios ajustados, desde 2007-05-01</w:t>
            </w:r>
          </w:p>
        </w:tc>
      </w:tr>
      <w:tr w:rsidR="00E879B0">
        <w:tblPrEx>
          <w:tblCellMar>
            <w:top w:w="0" w:type="dxa"/>
            <w:bottom w:w="0" w:type="dxa"/>
          </w:tblCellMar>
        </w:tblPrEx>
        <w:trPr>
          <w:cantSplit/>
        </w:trPr>
        <w:tc>
          <w:tcPr>
            <w:tcW w:w="30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b/>
                <w:bCs/>
                <w:sz w:val="19"/>
                <w:szCs w:val="19"/>
              </w:rPr>
              <w:t>Fecha de descarga</w:t>
            </w:r>
          </w:p>
        </w:tc>
        <w:tc>
          <w:tcPr>
            <w:tcW w:w="607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9 de octubre de 2026</w:t>
            </w:r>
          </w:p>
        </w:tc>
      </w:tr>
      <w:tr w:rsidR="00E879B0">
        <w:tblPrEx>
          <w:tblCellMar>
            <w:top w:w="0" w:type="dxa"/>
            <w:bottom w:w="0" w:type="dxa"/>
          </w:tblCellMar>
        </w:tblPrEx>
        <w:trPr>
          <w:cantSplit/>
        </w:trPr>
        <w:tc>
          <w:tcPr>
            <w:tcW w:w="300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b/>
                <w:bCs/>
                <w:sz w:val="19"/>
                <w:szCs w:val="19"/>
              </w:rPr>
              <w:t>TensorFlow / scikit-learn</w:t>
            </w:r>
          </w:p>
        </w:tc>
        <w:tc>
          <w:tcPr>
            <w:tcW w:w="6070" w:type="dxa"/>
            <w:tcBorders>
              <w:top w:val="single" w:sz="4" w:space="0" w:color="D5DADF"/>
              <w:left w:val="none" w:sz="0" w:space="0" w:color="FFFFFF"/>
              <w:bottom w:val="single" w:sz="4" w:space="0" w:color="D5DADF"/>
              <w:right w:val="none" w:sz="0" w:space="0" w:color="FFFFFF"/>
            </w:tcBorders>
            <w:shd w:val="clear" w:color="auto" w:fill="F4F7F7"/>
            <w:tcMar>
              <w:top w:w="70" w:type="dxa"/>
              <w:left w:w="110" w:type="dxa"/>
              <w:bottom w:w="70" w:type="dxa"/>
              <w:right w:w="110" w:type="dxa"/>
            </w:tcMar>
            <w:vAlign w:val="center"/>
          </w:tcPr>
          <w:p w:rsidR="00E879B0" w:rsidRDefault="00D91B08">
            <w:r>
              <w:rPr>
                <w:sz w:val="19"/>
                <w:szCs w:val="19"/>
              </w:rPr>
              <w:t>2.21.0 / 1.6.1</w:t>
            </w:r>
          </w:p>
        </w:tc>
      </w:tr>
      <w:tr w:rsidR="00E879B0">
        <w:tblPrEx>
          <w:tblCellMar>
            <w:top w:w="0" w:type="dxa"/>
            <w:bottom w:w="0" w:type="dxa"/>
          </w:tblCellMar>
        </w:tblPrEx>
        <w:trPr>
          <w:cantSplit/>
        </w:trPr>
        <w:tc>
          <w:tcPr>
            <w:tcW w:w="300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b/>
                <w:bCs/>
                <w:sz w:val="19"/>
                <w:szCs w:val="19"/>
              </w:rPr>
              <w:t>pandas / NumPy / yfinance</w:t>
            </w:r>
          </w:p>
        </w:tc>
        <w:tc>
          <w:tcPr>
            <w:tcW w:w="6070" w:type="dxa"/>
            <w:tcBorders>
              <w:top w:val="single" w:sz="4" w:space="0" w:color="D5DADF"/>
              <w:left w:val="none" w:sz="0" w:space="0" w:color="FFFFFF"/>
              <w:bottom w:val="single" w:sz="4" w:space="0" w:color="D5DADF"/>
              <w:right w:val="none" w:sz="0" w:space="0" w:color="FFFFFF"/>
            </w:tcBorders>
            <w:shd w:val="clear" w:color="auto" w:fill="FFFFFF"/>
            <w:tcMar>
              <w:top w:w="70" w:type="dxa"/>
              <w:left w:w="110" w:type="dxa"/>
              <w:bottom w:w="70" w:type="dxa"/>
              <w:right w:w="110" w:type="dxa"/>
            </w:tcMar>
            <w:vAlign w:val="center"/>
          </w:tcPr>
          <w:p w:rsidR="00E879B0" w:rsidRDefault="00D91B08">
            <w:r>
              <w:rPr>
                <w:sz w:val="19"/>
                <w:szCs w:val="19"/>
              </w:rPr>
              <w:t>2.2.3 / 2.1.3 / 0.2.66</w:t>
            </w:r>
          </w:p>
        </w:tc>
      </w:tr>
    </w:tbl>
    <w:p w:rsidR="00D91B08" w:rsidRDefault="00D91B08"/>
    <w:sectPr w:rsidR="00D91B08">
      <w:headerReference w:type="default" r:id="rId13"/>
      <w:footerReference w:type="default" r:id="rId14"/>
      <w:pgSz w:w="11906" w:h="16838"/>
      <w:pgMar w:top="1418" w:right="1418" w:bottom="1418" w:left="1418"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91B08" w:rsidRDefault="00D91B08">
      <w:r>
        <w:separator/>
      </w:r>
    </w:p>
  </w:endnote>
  <w:endnote w:type="continuationSeparator" w:id="0">
    <w:p w:rsidR="00D91B08" w:rsidRDefault="00D91B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79B0" w:rsidRDefault="00D91B08">
    <w:pPr>
      <w:jc w:val="center"/>
    </w:pPr>
    <w:r>
      <w:rPr>
        <w:color w:val="6B7280"/>
        <w:sz w:val="18"/>
        <w:szCs w:val="18"/>
      </w:rPr>
      <w:fldChar w:fldCharType="begin"/>
    </w:r>
    <w:r>
      <w:rPr>
        <w:color w:val="6B7280"/>
        <w:sz w:val="18"/>
        <w:szCs w:val="18"/>
      </w:rPr>
      <w:instrText>PAGE</w:instrText>
    </w:r>
    <w:r w:rsidR="00DB7D13">
      <w:rPr>
        <w:color w:val="6B7280"/>
        <w:sz w:val="18"/>
        <w:szCs w:val="18"/>
      </w:rPr>
      <w:fldChar w:fldCharType="separate"/>
    </w:r>
    <w:r w:rsidR="00DB7D13">
      <w:rPr>
        <w:noProof/>
        <w:color w:val="6B7280"/>
        <w:sz w:val="18"/>
        <w:szCs w:val="18"/>
      </w:rPr>
      <w:t>14</w:t>
    </w:r>
    <w:r>
      <w:rPr>
        <w:color w:val="6B72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91B08" w:rsidRDefault="00D91B08">
      <w:r>
        <w:separator/>
      </w:r>
    </w:p>
  </w:footnote>
  <w:footnote w:type="continuationSeparator" w:id="0">
    <w:p w:rsidR="00D91B08" w:rsidRDefault="00D91B0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79B0" w:rsidRDefault="00D91B08">
    <w:pPr>
      <w:jc w:val="right"/>
    </w:pPr>
    <w:r>
      <w:rPr>
        <w:color w:val="6B7280"/>
        <w:sz w:val="17"/>
        <w:szCs w:val="17"/>
      </w:rPr>
      <w:t>GRU vs. modelos clásicos en la predicción de SPY · TP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376C23"/>
    <w:multiLevelType w:val="hybridMultilevel"/>
    <w:tmpl w:val="9CC4A198"/>
    <w:lvl w:ilvl="0" w:tplc="ED186586">
      <w:start w:val="1"/>
      <w:numFmt w:val="bullet"/>
      <w:lvlText w:val="•"/>
      <w:lvlJc w:val="left"/>
      <w:pPr>
        <w:ind w:left="567" w:hanging="284"/>
      </w:pPr>
    </w:lvl>
    <w:lvl w:ilvl="1" w:tplc="607E5E20">
      <w:numFmt w:val="decimal"/>
      <w:lvlText w:val=""/>
      <w:lvlJc w:val="left"/>
    </w:lvl>
    <w:lvl w:ilvl="2" w:tplc="8828E8B8">
      <w:numFmt w:val="decimal"/>
      <w:lvlText w:val=""/>
      <w:lvlJc w:val="left"/>
    </w:lvl>
    <w:lvl w:ilvl="3" w:tplc="7F7E76EA">
      <w:numFmt w:val="decimal"/>
      <w:lvlText w:val=""/>
      <w:lvlJc w:val="left"/>
    </w:lvl>
    <w:lvl w:ilvl="4" w:tplc="592EB630">
      <w:numFmt w:val="decimal"/>
      <w:lvlText w:val=""/>
      <w:lvlJc w:val="left"/>
    </w:lvl>
    <w:lvl w:ilvl="5" w:tplc="03CE52CE">
      <w:numFmt w:val="decimal"/>
      <w:lvlText w:val=""/>
      <w:lvlJc w:val="left"/>
    </w:lvl>
    <w:lvl w:ilvl="6" w:tplc="F808F1E6">
      <w:numFmt w:val="decimal"/>
      <w:lvlText w:val=""/>
      <w:lvlJc w:val="left"/>
    </w:lvl>
    <w:lvl w:ilvl="7" w:tplc="92343BD6">
      <w:numFmt w:val="decimal"/>
      <w:lvlText w:val=""/>
      <w:lvlJc w:val="left"/>
    </w:lvl>
    <w:lvl w:ilvl="8" w:tplc="DE064D08">
      <w:numFmt w:val="decimal"/>
      <w:lvlText w:val=""/>
      <w:lvlJc w:val="left"/>
    </w:lvl>
  </w:abstractNum>
  <w:abstractNum w:abstractNumId="1">
    <w:nsid w:val="60515934"/>
    <w:multiLevelType w:val="hybridMultilevel"/>
    <w:tmpl w:val="D4206F88"/>
    <w:lvl w:ilvl="0" w:tplc="1E62F538">
      <w:start w:val="1"/>
      <w:numFmt w:val="bullet"/>
      <w:lvlText w:val="●"/>
      <w:lvlJc w:val="left"/>
      <w:pPr>
        <w:ind w:left="720" w:hanging="360"/>
      </w:pPr>
    </w:lvl>
    <w:lvl w:ilvl="1" w:tplc="30A8EB74">
      <w:start w:val="1"/>
      <w:numFmt w:val="bullet"/>
      <w:lvlText w:val="○"/>
      <w:lvlJc w:val="left"/>
      <w:pPr>
        <w:ind w:left="1440" w:hanging="360"/>
      </w:pPr>
    </w:lvl>
    <w:lvl w:ilvl="2" w:tplc="89840058">
      <w:start w:val="1"/>
      <w:numFmt w:val="bullet"/>
      <w:lvlText w:val="■"/>
      <w:lvlJc w:val="left"/>
      <w:pPr>
        <w:ind w:left="2160" w:hanging="360"/>
      </w:pPr>
    </w:lvl>
    <w:lvl w:ilvl="3" w:tplc="9036FC32">
      <w:start w:val="1"/>
      <w:numFmt w:val="bullet"/>
      <w:lvlText w:val="●"/>
      <w:lvlJc w:val="left"/>
      <w:pPr>
        <w:ind w:left="2880" w:hanging="360"/>
      </w:pPr>
    </w:lvl>
    <w:lvl w:ilvl="4" w:tplc="942CE42E">
      <w:start w:val="1"/>
      <w:numFmt w:val="bullet"/>
      <w:lvlText w:val="○"/>
      <w:lvlJc w:val="left"/>
      <w:pPr>
        <w:ind w:left="3600" w:hanging="360"/>
      </w:pPr>
    </w:lvl>
    <w:lvl w:ilvl="5" w:tplc="37CCF9D8">
      <w:start w:val="1"/>
      <w:numFmt w:val="bullet"/>
      <w:lvlText w:val="■"/>
      <w:lvlJc w:val="left"/>
      <w:pPr>
        <w:ind w:left="4320" w:hanging="360"/>
      </w:pPr>
    </w:lvl>
    <w:lvl w:ilvl="6" w:tplc="6A522C2C">
      <w:start w:val="1"/>
      <w:numFmt w:val="bullet"/>
      <w:lvlText w:val="●"/>
      <w:lvlJc w:val="left"/>
      <w:pPr>
        <w:ind w:left="5040" w:hanging="360"/>
      </w:pPr>
    </w:lvl>
    <w:lvl w:ilvl="7" w:tplc="F524ED50">
      <w:start w:val="1"/>
      <w:numFmt w:val="bullet"/>
      <w:lvlText w:val="●"/>
      <w:lvlJc w:val="left"/>
      <w:pPr>
        <w:ind w:left="5760" w:hanging="360"/>
      </w:pPr>
    </w:lvl>
    <w:lvl w:ilvl="8" w:tplc="953C8F0C">
      <w:start w:val="1"/>
      <w:numFmt w:val="bullet"/>
      <w:lvlText w:val="●"/>
      <w:lvlJc w:val="left"/>
      <w:pPr>
        <w:ind w:left="6480" w:hanging="360"/>
      </w:pPr>
    </w:lvl>
  </w:abstractNum>
  <w:abstractNum w:abstractNumId="2">
    <w:nsid w:val="60F31FFC"/>
    <w:multiLevelType w:val="hybridMultilevel"/>
    <w:tmpl w:val="5E9AD5BC"/>
    <w:lvl w:ilvl="0" w:tplc="390E53AA">
      <w:start w:val="1"/>
      <w:numFmt w:val="decimal"/>
      <w:lvlText w:val="%1."/>
      <w:lvlJc w:val="left"/>
      <w:pPr>
        <w:ind w:left="567" w:hanging="340"/>
      </w:pPr>
    </w:lvl>
    <w:lvl w:ilvl="1" w:tplc="2A289848">
      <w:numFmt w:val="decimal"/>
      <w:lvlText w:val=""/>
      <w:lvlJc w:val="left"/>
    </w:lvl>
    <w:lvl w:ilvl="2" w:tplc="91EC7924">
      <w:numFmt w:val="decimal"/>
      <w:lvlText w:val=""/>
      <w:lvlJc w:val="left"/>
    </w:lvl>
    <w:lvl w:ilvl="3" w:tplc="C7A45730">
      <w:numFmt w:val="decimal"/>
      <w:lvlText w:val=""/>
      <w:lvlJc w:val="left"/>
    </w:lvl>
    <w:lvl w:ilvl="4" w:tplc="347A8FC8">
      <w:numFmt w:val="decimal"/>
      <w:lvlText w:val=""/>
      <w:lvlJc w:val="left"/>
    </w:lvl>
    <w:lvl w:ilvl="5" w:tplc="7A64BD36">
      <w:numFmt w:val="decimal"/>
      <w:lvlText w:val=""/>
      <w:lvlJc w:val="left"/>
    </w:lvl>
    <w:lvl w:ilvl="6" w:tplc="339A0776">
      <w:numFmt w:val="decimal"/>
      <w:lvlText w:val=""/>
      <w:lvlJc w:val="left"/>
    </w:lvl>
    <w:lvl w:ilvl="7" w:tplc="8974BBC2">
      <w:numFmt w:val="decimal"/>
      <w:lvlText w:val=""/>
      <w:lvlJc w:val="left"/>
    </w:lvl>
    <w:lvl w:ilvl="8" w:tplc="B74C6CCE">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E879B0"/>
    <w:rsid w:val="00D91B08"/>
    <w:rsid w:val="00DB7D13"/>
    <w:rsid w:val="00E879B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1F2A37"/>
        <w:sz w:val="22"/>
        <w:szCs w:val="22"/>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qFormat/>
    <w:pPr>
      <w:keepNext/>
      <w:spacing w:before="420" w:after="180"/>
      <w:outlineLvl w:val="0"/>
    </w:pPr>
    <w:rPr>
      <w:rFonts w:ascii="Cambria" w:eastAsia="Cambria" w:hAnsi="Cambria" w:cs="Cambria"/>
      <w:b/>
      <w:bCs/>
      <w:color w:val="0F5257"/>
      <w:sz w:val="32"/>
      <w:szCs w:val="32"/>
    </w:rPr>
  </w:style>
  <w:style w:type="paragraph" w:styleId="Ttulo2">
    <w:name w:val="heading 2"/>
    <w:qFormat/>
    <w:pPr>
      <w:keepNext/>
      <w:spacing w:before="280" w:after="120"/>
      <w:outlineLvl w:val="1"/>
    </w:pPr>
    <w:rPr>
      <w:rFonts w:ascii="Cambria" w:eastAsia="Cambria" w:hAnsi="Cambria" w:cs="Cambria"/>
      <w:b/>
      <w:bCs/>
      <w:sz w:val="25"/>
      <w:szCs w:val="25"/>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DB7D13"/>
    <w:pPr>
      <w:spacing w:after="100"/>
    </w:pPr>
  </w:style>
  <w:style w:type="paragraph" w:styleId="TDC2">
    <w:name w:val="toc 2"/>
    <w:basedOn w:val="Normal"/>
    <w:next w:val="Normal"/>
    <w:autoRedefine/>
    <w:uiPriority w:val="39"/>
    <w:unhideWhenUsed/>
    <w:rsid w:val="00DB7D13"/>
    <w:pPr>
      <w:spacing w:after="100"/>
      <w:ind w:left="220"/>
    </w:pPr>
  </w:style>
  <w:style w:type="paragraph" w:styleId="Textodeglobo">
    <w:name w:val="Balloon Text"/>
    <w:basedOn w:val="Normal"/>
    <w:link w:val="TextodegloboCar"/>
    <w:uiPriority w:val="99"/>
    <w:semiHidden/>
    <w:unhideWhenUsed/>
    <w:rsid w:val="00DB7D13"/>
    <w:rPr>
      <w:rFonts w:ascii="Tahoma" w:hAnsi="Tahoma" w:cs="Tahoma"/>
      <w:sz w:val="16"/>
      <w:szCs w:val="16"/>
    </w:rPr>
  </w:style>
  <w:style w:type="character" w:customStyle="1" w:styleId="TextodegloboCar">
    <w:name w:val="Texto de globo Car"/>
    <w:basedOn w:val="Fuentedeprrafopredeter"/>
    <w:link w:val="Textodeglobo"/>
    <w:uiPriority w:val="99"/>
    <w:semiHidden/>
    <w:rsid w:val="00DB7D1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1F2A37"/>
        <w:sz w:val="22"/>
        <w:szCs w:val="22"/>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qFormat/>
    <w:pPr>
      <w:keepNext/>
      <w:spacing w:before="420" w:after="180"/>
      <w:outlineLvl w:val="0"/>
    </w:pPr>
    <w:rPr>
      <w:rFonts w:ascii="Cambria" w:eastAsia="Cambria" w:hAnsi="Cambria" w:cs="Cambria"/>
      <w:b/>
      <w:bCs/>
      <w:color w:val="0F5257"/>
      <w:sz w:val="32"/>
      <w:szCs w:val="32"/>
    </w:rPr>
  </w:style>
  <w:style w:type="paragraph" w:styleId="Ttulo2">
    <w:name w:val="heading 2"/>
    <w:qFormat/>
    <w:pPr>
      <w:keepNext/>
      <w:spacing w:before="280" w:after="120"/>
      <w:outlineLvl w:val="1"/>
    </w:pPr>
    <w:rPr>
      <w:rFonts w:ascii="Cambria" w:eastAsia="Cambria" w:hAnsi="Cambria" w:cs="Cambria"/>
      <w:b/>
      <w:bCs/>
      <w:sz w:val="25"/>
      <w:szCs w:val="25"/>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DB7D13"/>
    <w:pPr>
      <w:spacing w:after="100"/>
    </w:pPr>
  </w:style>
  <w:style w:type="paragraph" w:styleId="TDC2">
    <w:name w:val="toc 2"/>
    <w:basedOn w:val="Normal"/>
    <w:next w:val="Normal"/>
    <w:autoRedefine/>
    <w:uiPriority w:val="39"/>
    <w:unhideWhenUsed/>
    <w:rsid w:val="00DB7D13"/>
    <w:pPr>
      <w:spacing w:after="100"/>
      <w:ind w:left="220"/>
    </w:pPr>
  </w:style>
  <w:style w:type="paragraph" w:styleId="Textodeglobo">
    <w:name w:val="Balloon Text"/>
    <w:basedOn w:val="Normal"/>
    <w:link w:val="TextodegloboCar"/>
    <w:uiPriority w:val="99"/>
    <w:semiHidden/>
    <w:unhideWhenUsed/>
    <w:rsid w:val="00DB7D13"/>
    <w:rPr>
      <w:rFonts w:ascii="Tahoma" w:hAnsi="Tahoma" w:cs="Tahoma"/>
      <w:sz w:val="16"/>
      <w:szCs w:val="16"/>
    </w:rPr>
  </w:style>
  <w:style w:type="character" w:customStyle="1" w:styleId="TextodegloboCar">
    <w:name w:val="Texto de globo Car"/>
    <w:basedOn w:val="Fuentedeprrafopredeter"/>
    <w:link w:val="Textodeglobo"/>
    <w:uiPriority w:val="99"/>
    <w:semiHidden/>
    <w:rsid w:val="00DB7D1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4436</Words>
  <Characters>24399</Characters>
  <Application>Microsoft Office Word</Application>
  <DocSecurity>0</DocSecurity>
  <Lines>203</Lines>
  <Paragraphs>57</Paragraphs>
  <ScaleCrop>false</ScaleCrop>
  <Company>Universidad de Palermo</Company>
  <LinksUpToDate>false</LinksUpToDate>
  <CharactersWithSpaces>28778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Final — Redes Neuronales y Deep Learning</dc:title>
  <dc:creator>Diego Diamanti, Melisa Maldonado, Diego Weber</dc:creator>
  <cp:lastModifiedBy>Usuario</cp:lastModifiedBy>
  <cp:revision>2</cp:revision>
  <dcterms:created xsi:type="dcterms:W3CDTF">2026-10-09T14:01:00Z</dcterms:created>
  <dcterms:modified xsi:type="dcterms:W3CDTF">2026-10-09T14:14:00Z</dcterms:modified>
</cp:coreProperties>
</file>