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5257"/>
          <w:spacing w:val="30"/>
          <w:sz w:val="18"/>
          <w:szCs w:val="18"/>
        </w:rPr>
        <w:t xml:space="preserve">TP FINAL · REDES NEURONALES Y DEEP LEARNING · GRUPO 4</w:t>
      </w:r>
    </w:p>
    <w:p>
      <w:pPr>
        <w:spacing w:after="120"/>
      </w:pPr>
      <w:r>
        <w:rPr>
          <w:rFonts w:ascii="Cambria" w:cs="Cambria" w:eastAsia="Cambria" w:hAnsi="Cambria"/>
          <w:b/>
          <w:bCs/>
          <w:color w:val="1F2A37"/>
          <w:sz w:val="44"/>
          <w:szCs w:val="44"/>
        </w:rPr>
        <w:t xml:space="preserve">Guion de la presentación oral</w:t>
      </w:r>
    </w:p>
    <w:p>
      <w:pPr>
        <w:spacing w:after="240"/>
      </w:pPr>
      <w:r>
        <w:rPr>
          <w:color w:val="6B7280"/>
          <w:sz w:val="21"/>
          <w:szCs w:val="21"/>
        </w:rPr>
        <w:t xml:space="preserve">Duración objetivo: 9:40 minutos sobre un máximo de 10. Corresponde a la presentación de 20 diapositivas (v3); las diapositivas 19 (Referencias) y 20 (Anexo) solo se muestran si hay preguntas.</w:t>
      </w:r>
    </w:p>
    <w:p>
      <w:pPr>
        <w:pStyle w:val="Heading1"/>
      </w:pPr>
      <w:r>
        <w:t xml:space="preserve">Reparto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3170"/>
        <w:gridCol w:w="1900"/>
        <w:gridCol w:w="1500"/>
      </w:tblGrid>
      <w:tr>
        <w:trPr>
          <w:tblHeader/>
        </w:trPr>
        <w:tc>
          <w:tcPr>
            <w:tcW w:type="dxa" w:w="2500"/>
            <w:tcBorders>
              <w:top w:val="single" w:color="D5DADF" w:sz="4"/>
              <w:left w:val="none" w:color="FFFFFF" w:sz="0"/>
              <w:bottom w:val="single" w:color="D5DADF" w:sz="4"/>
              <w:right w:val="none" w:color="FFFFFF" w:sz="0"/>
            </w:tcBorders>
            <w:shd w:fill="0F5257" w:color="auto" w:val="clear"/>
            <w:tcMar>
              <w:top w:type="dxa" w:w="70"/>
              <w:left w:type="dxa" w:w="110"/>
              <w:bottom w:type="dxa" w:w="70"/>
              <w:right w:type="dxa" w:w="110"/>
            </w:tcMar>
            <w:vAlign w:val="center"/>
          </w:tcPr>
          <w:p>
            <w:pPr>
              <w:jc w:val="left"/>
            </w:pPr>
            <w:r>
              <w:rPr>
                <w:b/>
                <w:bCs/>
                <w:color w:val="FFFFFF"/>
                <w:sz w:val="20"/>
                <w:szCs w:val="20"/>
              </w:rPr>
              <w:t xml:space="preserve">Integrante</w:t>
            </w:r>
          </w:p>
        </w:tc>
        <w:tc>
          <w:tcPr>
            <w:tcW w:type="dxa" w:w="3170"/>
            <w:tcBorders>
              <w:top w:val="single" w:color="D5DADF" w:sz="4"/>
              <w:left w:val="none" w:color="FFFFFF" w:sz="0"/>
              <w:bottom w:val="single" w:color="D5DADF" w:sz="4"/>
              <w:right w:val="none" w:color="FFFFFF" w:sz="0"/>
            </w:tcBorders>
            <w:shd w:fill="0F5257" w:color="auto" w:val="clear"/>
            <w:tcMar>
              <w:top w:type="dxa" w:w="70"/>
              <w:left w:type="dxa" w:w="110"/>
              <w:bottom w:type="dxa" w:w="70"/>
              <w:right w:type="dxa" w:w="110"/>
            </w:tcMar>
            <w:vAlign w:val="center"/>
          </w:tcPr>
          <w:p>
            <w:pPr>
              <w:jc w:val="left"/>
            </w:pPr>
            <w:r>
              <w:rPr>
                <w:b/>
                <w:bCs/>
                <w:color w:val="FFFFFF"/>
                <w:sz w:val="20"/>
                <w:szCs w:val="20"/>
              </w:rPr>
              <w:t xml:space="preserve">Bloque</w:t>
            </w:r>
          </w:p>
        </w:tc>
        <w:tc>
          <w:tcPr>
            <w:tcW w:type="dxa" w:w="1900"/>
            <w:tcBorders>
              <w:top w:val="single" w:color="D5DADF" w:sz="4"/>
              <w:left w:val="none" w:color="FFFFFF" w:sz="0"/>
              <w:bottom w:val="single" w:color="D5DADF" w:sz="4"/>
              <w:right w:val="none" w:color="FFFFFF" w:sz="0"/>
            </w:tcBorders>
            <w:shd w:fill="0F5257" w:color="auto" w:val="clear"/>
            <w:tcMar>
              <w:top w:type="dxa" w:w="70"/>
              <w:left w:type="dxa" w:w="110"/>
              <w:bottom w:type="dxa" w:w="70"/>
              <w:right w:type="dxa" w:w="110"/>
            </w:tcMar>
            <w:vAlign w:val="center"/>
          </w:tcPr>
          <w:p>
            <w:pPr>
              <w:jc w:val="left"/>
            </w:pPr>
            <w:r>
              <w:rPr>
                <w:b/>
                <w:bCs/>
                <w:color w:val="FFFFFF"/>
                <w:sz w:val="20"/>
                <w:szCs w:val="20"/>
              </w:rPr>
              <w:t xml:space="preserve">Diapositivas</w:t>
            </w:r>
          </w:p>
        </w:tc>
        <w:tc>
          <w:tcPr>
            <w:tcW w:type="dxa" w:w="1500"/>
            <w:tcBorders>
              <w:top w:val="single" w:color="D5DADF" w:sz="4"/>
              <w:left w:val="none" w:color="FFFFFF" w:sz="0"/>
              <w:bottom w:val="single" w:color="D5DADF" w:sz="4"/>
              <w:right w:val="none" w:color="FFFFFF" w:sz="0"/>
            </w:tcBorders>
            <w:shd w:fill="0F5257" w:color="auto" w:val="clear"/>
            <w:tcMar>
              <w:top w:type="dxa" w:w="70"/>
              <w:left w:type="dxa" w:w="110"/>
              <w:bottom w:type="dxa" w:w="70"/>
              <w:right w:type="dxa" w:w="110"/>
            </w:tcMar>
            <w:vAlign w:val="center"/>
          </w:tcPr>
          <w:p>
            <w:pPr>
              <w:jc w:val="left"/>
            </w:pPr>
            <w:r>
              <w:rPr>
                <w:b/>
                <w:bCs/>
                <w:color w:val="FFFFFF"/>
                <w:sz w:val="20"/>
                <w:szCs w:val="20"/>
              </w:rPr>
              <w:t xml:space="preserve">Tiempo</w:t>
            </w:r>
          </w:p>
        </w:tc>
      </w:tr>
      <w:tr>
        <w:trPr>
          <w:cantSplit/>
        </w:trPr>
        <w:tc>
          <w:tcPr>
            <w:tcW w:type="dxa" w:w="250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bCs/>
                <w:color w:val="1F2A37"/>
                <w:sz w:val="20"/>
                <w:szCs w:val="20"/>
              </w:rPr>
              <w:t xml:space="preserve">Diego Diamanti</w:t>
            </w:r>
          </w:p>
        </w:tc>
        <w:tc>
          <w:tcPr>
            <w:tcW w:type="dxa" w:w="317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val="false"/>
                <w:bCs w:val="false"/>
                <w:color w:val="1F2A37"/>
                <w:sz w:val="20"/>
                <w:szCs w:val="20"/>
              </w:rPr>
              <w:t xml:space="preserve">Apertura y contexto</w:t>
            </w:r>
          </w:p>
        </w:tc>
        <w:tc>
          <w:tcPr>
            <w:tcW w:type="dxa" w:w="190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val="false"/>
                <w:bCs w:val="false"/>
                <w:color w:val="1F2A37"/>
                <w:sz w:val="20"/>
                <w:szCs w:val="20"/>
              </w:rPr>
              <w:t xml:space="preserve">1 a 5</w:t>
            </w:r>
          </w:p>
        </w:tc>
        <w:tc>
          <w:tcPr>
            <w:tcW w:type="dxa" w:w="150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val="false"/>
                <w:bCs w:val="false"/>
                <w:color w:val="1F2A37"/>
                <w:sz w:val="20"/>
                <w:szCs w:val="20"/>
              </w:rPr>
              <w:t xml:space="preserve">2:45</w:t>
            </w:r>
          </w:p>
        </w:tc>
      </w:tr>
      <w:tr>
        <w:trPr>
          <w:cantSplit/>
        </w:trPr>
        <w:tc>
          <w:tcPr>
            <w:tcW w:type="dxa" w:w="2500"/>
            <w:tcBorders>
              <w:top w:val="single" w:color="D5DADF" w:sz="4"/>
              <w:left w:val="none" w:color="FFFFFF" w:sz="0"/>
              <w:bottom w:val="single" w:color="D5DADF" w:sz="4"/>
              <w:right w:val="none" w:color="FFFFFF" w:sz="0"/>
            </w:tcBorders>
            <w:shd w:fill="F4F7F7" w:color="auto" w:val="clear"/>
            <w:tcMar>
              <w:top w:type="dxa" w:w="70"/>
              <w:left w:type="dxa" w:w="110"/>
              <w:bottom w:type="dxa" w:w="70"/>
              <w:right w:type="dxa" w:w="110"/>
            </w:tcMar>
            <w:vAlign w:val="center"/>
          </w:tcPr>
          <w:p>
            <w:pPr>
              <w:jc w:val="left"/>
            </w:pPr>
            <w:r>
              <w:rPr>
                <w:b/>
                <w:bCs/>
                <w:color w:val="1F2A37"/>
                <w:sz w:val="20"/>
                <w:szCs w:val="20"/>
              </w:rPr>
              <w:t xml:space="preserve">Melisa Maldonado</w:t>
            </w:r>
          </w:p>
        </w:tc>
        <w:tc>
          <w:tcPr>
            <w:tcW w:type="dxa" w:w="3170"/>
            <w:tcBorders>
              <w:top w:val="single" w:color="D5DADF" w:sz="4"/>
              <w:left w:val="none" w:color="FFFFFF" w:sz="0"/>
              <w:bottom w:val="single" w:color="D5DADF" w:sz="4"/>
              <w:right w:val="none" w:color="FFFFFF" w:sz="0"/>
            </w:tcBorders>
            <w:shd w:fill="F4F7F7" w:color="auto" w:val="clear"/>
            <w:tcMar>
              <w:top w:type="dxa" w:w="70"/>
              <w:left w:type="dxa" w:w="110"/>
              <w:bottom w:type="dxa" w:w="70"/>
              <w:right w:type="dxa" w:w="110"/>
            </w:tcMar>
            <w:vAlign w:val="center"/>
          </w:tcPr>
          <w:p>
            <w:pPr>
              <w:jc w:val="left"/>
            </w:pPr>
            <w:r>
              <w:rPr>
                <w:b w:val="false"/>
                <w:bCs w:val="false"/>
                <w:color w:val="1F2A37"/>
                <w:sz w:val="20"/>
                <w:szCs w:val="20"/>
              </w:rPr>
              <w:t xml:space="preserve">Datos y metodología</w:t>
            </w:r>
          </w:p>
        </w:tc>
        <w:tc>
          <w:tcPr>
            <w:tcW w:type="dxa" w:w="1900"/>
            <w:tcBorders>
              <w:top w:val="single" w:color="D5DADF" w:sz="4"/>
              <w:left w:val="none" w:color="FFFFFF" w:sz="0"/>
              <w:bottom w:val="single" w:color="D5DADF" w:sz="4"/>
              <w:right w:val="none" w:color="FFFFFF" w:sz="0"/>
            </w:tcBorders>
            <w:shd w:fill="F4F7F7" w:color="auto" w:val="clear"/>
            <w:tcMar>
              <w:top w:type="dxa" w:w="70"/>
              <w:left w:type="dxa" w:w="110"/>
              <w:bottom w:type="dxa" w:w="70"/>
              <w:right w:type="dxa" w:w="110"/>
            </w:tcMar>
            <w:vAlign w:val="center"/>
          </w:tcPr>
          <w:p>
            <w:pPr>
              <w:jc w:val="left"/>
            </w:pPr>
            <w:r>
              <w:rPr>
                <w:b w:val="false"/>
                <w:bCs w:val="false"/>
                <w:color w:val="1F2A37"/>
                <w:sz w:val="20"/>
                <w:szCs w:val="20"/>
              </w:rPr>
              <w:t xml:space="preserve">6 a 11</w:t>
            </w:r>
          </w:p>
        </w:tc>
        <w:tc>
          <w:tcPr>
            <w:tcW w:type="dxa" w:w="1500"/>
            <w:tcBorders>
              <w:top w:val="single" w:color="D5DADF" w:sz="4"/>
              <w:left w:val="none" w:color="FFFFFF" w:sz="0"/>
              <w:bottom w:val="single" w:color="D5DADF" w:sz="4"/>
              <w:right w:val="none" w:color="FFFFFF" w:sz="0"/>
            </w:tcBorders>
            <w:shd w:fill="F4F7F7" w:color="auto" w:val="clear"/>
            <w:tcMar>
              <w:top w:type="dxa" w:w="70"/>
              <w:left w:type="dxa" w:w="110"/>
              <w:bottom w:type="dxa" w:w="70"/>
              <w:right w:type="dxa" w:w="110"/>
            </w:tcMar>
            <w:vAlign w:val="center"/>
          </w:tcPr>
          <w:p>
            <w:pPr>
              <w:jc w:val="left"/>
            </w:pPr>
            <w:r>
              <w:rPr>
                <w:b w:val="false"/>
                <w:bCs w:val="false"/>
                <w:color w:val="1F2A37"/>
                <w:sz w:val="20"/>
                <w:szCs w:val="20"/>
              </w:rPr>
              <w:t xml:space="preserve">3:10</w:t>
            </w:r>
          </w:p>
        </w:tc>
      </w:tr>
      <w:tr>
        <w:trPr>
          <w:cantSplit/>
        </w:trPr>
        <w:tc>
          <w:tcPr>
            <w:tcW w:type="dxa" w:w="250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bCs/>
                <w:color w:val="1F2A37"/>
                <w:sz w:val="20"/>
                <w:szCs w:val="20"/>
              </w:rPr>
              <w:t xml:space="preserve">Diego Weber</w:t>
            </w:r>
          </w:p>
        </w:tc>
        <w:tc>
          <w:tcPr>
            <w:tcW w:type="dxa" w:w="317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val="false"/>
                <w:bCs w:val="false"/>
                <w:color w:val="1F2A37"/>
                <w:sz w:val="20"/>
                <w:szCs w:val="20"/>
              </w:rPr>
              <w:t xml:space="preserve">Resultados y discusión</w:t>
            </w:r>
          </w:p>
        </w:tc>
        <w:tc>
          <w:tcPr>
            <w:tcW w:type="dxa" w:w="190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val="false"/>
                <w:bCs w:val="false"/>
                <w:color w:val="1F2A37"/>
                <w:sz w:val="20"/>
                <w:szCs w:val="20"/>
              </w:rPr>
              <w:t xml:space="preserve">12 a 17</w:t>
            </w:r>
          </w:p>
        </w:tc>
        <w:tc>
          <w:tcPr>
            <w:tcW w:type="dxa" w:w="150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val="false"/>
                <w:bCs w:val="false"/>
                <w:color w:val="1F2A37"/>
                <w:sz w:val="20"/>
                <w:szCs w:val="20"/>
              </w:rPr>
              <w:t xml:space="preserve">3:15</w:t>
            </w:r>
          </w:p>
        </w:tc>
      </w:tr>
      <w:tr>
        <w:trPr>
          <w:cantSplit/>
        </w:trPr>
        <w:tc>
          <w:tcPr>
            <w:tcW w:type="dxa" w:w="2500"/>
            <w:tcBorders>
              <w:top w:val="single" w:color="D5DADF" w:sz="4"/>
              <w:left w:val="none" w:color="FFFFFF" w:sz="0"/>
              <w:bottom w:val="single" w:color="D5DADF" w:sz="4"/>
              <w:right w:val="none" w:color="FFFFFF" w:sz="0"/>
            </w:tcBorders>
            <w:shd w:fill="F4F7F7" w:color="auto" w:val="clear"/>
            <w:tcMar>
              <w:top w:type="dxa" w:w="70"/>
              <w:left w:type="dxa" w:w="110"/>
              <w:bottom w:type="dxa" w:w="70"/>
              <w:right w:type="dxa" w:w="110"/>
            </w:tcMar>
            <w:vAlign w:val="center"/>
          </w:tcPr>
          <w:p>
            <w:pPr>
              <w:jc w:val="left"/>
            </w:pPr>
            <w:r>
              <w:rPr>
                <w:b/>
                <w:bCs/>
                <w:color w:val="1F2A37"/>
                <w:sz w:val="20"/>
                <w:szCs w:val="20"/>
              </w:rPr>
              <w:t xml:space="preserve">Diego Diamanti</w:t>
            </w:r>
          </w:p>
        </w:tc>
        <w:tc>
          <w:tcPr>
            <w:tcW w:type="dxa" w:w="3170"/>
            <w:tcBorders>
              <w:top w:val="single" w:color="D5DADF" w:sz="4"/>
              <w:left w:val="none" w:color="FFFFFF" w:sz="0"/>
              <w:bottom w:val="single" w:color="D5DADF" w:sz="4"/>
              <w:right w:val="none" w:color="FFFFFF" w:sz="0"/>
            </w:tcBorders>
            <w:shd w:fill="F4F7F7" w:color="auto" w:val="clear"/>
            <w:tcMar>
              <w:top w:type="dxa" w:w="70"/>
              <w:left w:type="dxa" w:w="110"/>
              <w:bottom w:type="dxa" w:w="70"/>
              <w:right w:type="dxa" w:w="110"/>
            </w:tcMar>
            <w:vAlign w:val="center"/>
          </w:tcPr>
          <w:p>
            <w:pPr>
              <w:jc w:val="left"/>
            </w:pPr>
            <w:r>
              <w:rPr>
                <w:b w:val="false"/>
                <w:bCs w:val="false"/>
                <w:color w:val="1F2A37"/>
                <w:sz w:val="20"/>
                <w:szCs w:val="20"/>
              </w:rPr>
              <w:t xml:space="preserve">Cierre</w:t>
            </w:r>
          </w:p>
        </w:tc>
        <w:tc>
          <w:tcPr>
            <w:tcW w:type="dxa" w:w="1900"/>
            <w:tcBorders>
              <w:top w:val="single" w:color="D5DADF" w:sz="4"/>
              <w:left w:val="none" w:color="FFFFFF" w:sz="0"/>
              <w:bottom w:val="single" w:color="D5DADF" w:sz="4"/>
              <w:right w:val="none" w:color="FFFFFF" w:sz="0"/>
            </w:tcBorders>
            <w:shd w:fill="F4F7F7" w:color="auto" w:val="clear"/>
            <w:tcMar>
              <w:top w:type="dxa" w:w="70"/>
              <w:left w:type="dxa" w:w="110"/>
              <w:bottom w:type="dxa" w:w="70"/>
              <w:right w:type="dxa" w:w="110"/>
            </w:tcMar>
            <w:vAlign w:val="center"/>
          </w:tcPr>
          <w:p>
            <w:pPr>
              <w:jc w:val="left"/>
            </w:pPr>
            <w:r>
              <w:rPr>
                <w:b w:val="false"/>
                <w:bCs w:val="false"/>
                <w:color w:val="1F2A37"/>
                <w:sz w:val="20"/>
                <w:szCs w:val="20"/>
              </w:rPr>
              <w:t xml:space="preserve">18</w:t>
            </w:r>
          </w:p>
        </w:tc>
        <w:tc>
          <w:tcPr>
            <w:tcW w:type="dxa" w:w="1500"/>
            <w:tcBorders>
              <w:top w:val="single" w:color="D5DADF" w:sz="4"/>
              <w:left w:val="none" w:color="FFFFFF" w:sz="0"/>
              <w:bottom w:val="single" w:color="D5DADF" w:sz="4"/>
              <w:right w:val="none" w:color="FFFFFF" w:sz="0"/>
            </w:tcBorders>
            <w:shd w:fill="F4F7F7" w:color="auto" w:val="clear"/>
            <w:tcMar>
              <w:top w:type="dxa" w:w="70"/>
              <w:left w:type="dxa" w:w="110"/>
              <w:bottom w:type="dxa" w:w="70"/>
              <w:right w:type="dxa" w:w="110"/>
            </w:tcMar>
            <w:vAlign w:val="center"/>
          </w:tcPr>
          <w:p>
            <w:pPr>
              <w:jc w:val="left"/>
            </w:pPr>
            <w:r>
              <w:rPr>
                <w:b w:val="false"/>
                <w:bCs w:val="false"/>
                <w:color w:val="1F2A37"/>
                <w:sz w:val="20"/>
                <w:szCs w:val="20"/>
              </w:rPr>
              <w:t xml:space="preserve">0:30</w:t>
            </w:r>
          </w:p>
        </w:tc>
      </w:tr>
      <w:tr>
        <w:trPr>
          <w:cantSplit/>
        </w:trPr>
        <w:tc>
          <w:tcPr>
            <w:tcW w:type="dxa" w:w="250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bCs/>
                <w:color w:val="1F2A37"/>
                <w:sz w:val="20"/>
                <w:szCs w:val="20"/>
              </w:rPr>
              <w:t xml:space="preserve">Total</w:t>
            </w:r>
          </w:p>
        </w:tc>
        <w:tc>
          <w:tcPr>
            <w:tcW w:type="dxa" w:w="317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val="false"/>
                <w:bCs w:val="false"/>
                <w:color w:val="1F2A37"/>
                <w:sz w:val="20"/>
                <w:szCs w:val="20"/>
              </w:rPr>
              <w:t xml:space="preserve"/>
            </w:r>
          </w:p>
        </w:tc>
        <w:tc>
          <w:tcPr>
            <w:tcW w:type="dxa" w:w="190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val="false"/>
                <w:bCs w:val="false"/>
                <w:color w:val="1F2A37"/>
                <w:sz w:val="20"/>
                <w:szCs w:val="20"/>
              </w:rPr>
              <w:t xml:space="preserve">1 a 18</w:t>
            </w:r>
          </w:p>
        </w:tc>
        <w:tc>
          <w:tcPr>
            <w:tcW w:type="dxa" w:w="150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val="false"/>
                <w:bCs w:val="false"/>
                <w:color w:val="1F2A37"/>
                <w:sz w:val="20"/>
                <w:szCs w:val="20"/>
              </w:rPr>
              <w:t xml:space="preserve">9:40</w:t>
            </w:r>
          </w:p>
        </w:tc>
      </w:tr>
    </w:tbl>
    <w:p>
      <w:pPr>
        <w:pStyle w:val="Heading1"/>
        <w:pageBreakBefore/>
      </w:pPr>
      <w:r>
        <w:t xml:space="preserve">Diego Diamanti · Apertura y contexto</w:t>
      </w:r>
    </w:p>
    <w:p>
      <w:pPr>
        <w:spacing w:after="160"/>
      </w:pPr>
      <w:r>
        <w:rPr>
          <w:color w:val="6B7280"/>
          <w:sz w:val="20"/>
          <w:szCs w:val="20"/>
        </w:rPr>
        <w:t xml:space="preserve">Tiempo del bloque: 2:45</w:t>
      </w:r>
    </w:p>
    <w:p>
      <w:pPr>
        <w:keepNext/>
        <w:spacing w:after="80" w:before="200"/>
      </w:pPr>
      <w:r>
        <w:rPr>
          <w:b/>
          <w:bCs/>
          <w:color w:val="0F5257"/>
          <w:sz w:val="22"/>
          <w:szCs w:val="22"/>
        </w:rPr>
        <w:t xml:space="preserve">Diapositiva 1  </w:t>
      </w:r>
      <w:r>
        <w:rPr>
          <w:b/>
          <w:bCs/>
          <w:sz w:val="22"/>
          <w:szCs w:val="22"/>
        </w:rPr>
        <w:t xml:space="preserve">Portada</w:t>
      </w:r>
      <w:r>
        <w:rPr>
          <w:b/>
          <w:bCs/>
          <w:color w:val="C8962E"/>
          <w:sz w:val="20"/>
          <w:szCs w:val="20"/>
        </w:rPr>
        <w:t xml:space="preserve">   0:15</w:t>
      </w:r>
    </w:p>
    <w:p>
      <w:pPr>
        <w:pBdr>
          <w:left w:val="single" w:color="C9DCDC" w:sz="12" w:space="10"/>
        </w:pBdr>
        <w:spacing w:after="120" w:line="320"/>
        <w:ind w:left="340"/>
      </w:pPr>
      <w:r>
        <w:rPr>
          <w:sz w:val="23"/>
          <w:szCs w:val="23"/>
        </w:rPr>
        <w:t xml:space="preserve">Buenas tardes. Somos el grupo 4: Melisa Maldonado, Diego Weber y yo, Diego Diamanti. Vamos a presentar nuestro trabajo final sobre redes recurrentes aplicadas a predecir la dirección del S&amp;P 500.</w:t>
      </w:r>
    </w:p>
    <w:p>
      <w:pPr>
        <w:keepNext/>
        <w:spacing w:after="80" w:before="200"/>
      </w:pPr>
      <w:r>
        <w:rPr>
          <w:b/>
          <w:bCs/>
          <w:color w:val="0F5257"/>
          <w:sz w:val="22"/>
          <w:szCs w:val="22"/>
        </w:rPr>
        <w:t xml:space="preserve">Diapositiva 2  </w:t>
      </w:r>
      <w:r>
        <w:rPr>
          <w:b/>
          <w:bCs/>
          <w:sz w:val="22"/>
          <w:szCs w:val="22"/>
        </w:rPr>
        <w:t xml:space="preserve">Pregunta de investigación</w:t>
      </w:r>
      <w:r>
        <w:rPr>
          <w:b/>
          <w:bCs/>
          <w:color w:val="C8962E"/>
          <w:sz w:val="20"/>
          <w:szCs w:val="20"/>
        </w:rPr>
        <w:t xml:space="preserve">   0:40</w:t>
      </w:r>
    </w:p>
    <w:p>
      <w:pPr>
        <w:pBdr>
          <w:left w:val="single" w:color="C9DCDC" w:sz="12" w:space="10"/>
        </w:pBdr>
        <w:spacing w:after="120" w:line="320"/>
        <w:ind w:left="340"/>
      </w:pPr>
      <w:r>
        <w:rPr>
          <w:sz w:val="23"/>
          <w:szCs w:val="23"/>
        </w:rPr>
        <w:t xml:space="preserve">Nos propusimos responder una sola pregunta: si una red GRU puede estimar la probabilidad de que SPY suba en las próximas cinco ruedas mejor que una regresión logística y que una línea de base ingenua. Usamos ventanas de veinte ruedas y comparamos tres modelos. Y fijamos el criterio antes de ver los resultados: la GRU es mejor solo si el intervalo de confianza de la diferencia de Brier queda completamente por debajo de cero.</w:t>
      </w:r>
    </w:p>
    <w:p>
      <w:pPr>
        <w:keepNext/>
        <w:spacing w:after="80" w:before="200"/>
      </w:pPr>
      <w:r>
        <w:rPr>
          <w:b/>
          <w:bCs/>
          <w:color w:val="0F5257"/>
          <w:sz w:val="22"/>
          <w:szCs w:val="22"/>
        </w:rPr>
        <w:t xml:space="preserve">Diapositiva 3  </w:t>
      </w:r>
      <w:r>
        <w:rPr>
          <w:b/>
          <w:bCs/>
          <w:sz w:val="22"/>
          <w:szCs w:val="22"/>
        </w:rPr>
        <w:t xml:space="preserve">Por qué la bolsa no es clasificar imágenes</w:t>
      </w:r>
      <w:r>
        <w:rPr>
          <w:b/>
          <w:bCs/>
          <w:color w:val="C8962E"/>
          <w:sz w:val="20"/>
          <w:szCs w:val="20"/>
        </w:rPr>
        <w:t xml:space="preserve">   0:35</w:t>
      </w:r>
    </w:p>
    <w:p>
      <w:pPr>
        <w:pBdr>
          <w:left w:val="single" w:color="C9DCDC" w:sz="12" w:space="10"/>
        </w:pBdr>
        <w:spacing w:after="120" w:line="320"/>
        <w:ind w:left="340"/>
      </w:pPr>
      <w:r>
        <w:rPr>
          <w:sz w:val="23"/>
          <w:szCs w:val="23"/>
        </w:rPr>
        <w:t xml:space="preserve">Una aclaración de expectativas. En imágenes la señal es estable: un gato siempre es un gato, y entrenar más suele ayudar. En el mercado a cinco ruedas la señal es débil y cambia con el régimen. Por eso, en este problema, un acierto muy alto es más una alarma de fuga de información que un logro. Diseñamos el experimento para saber con fundamento si el modelo aporta algo.</w:t>
      </w:r>
    </w:p>
    <w:p>
      <w:pPr>
        <w:keepNext/>
        <w:spacing w:after="80" w:before="200"/>
      </w:pPr>
      <w:r>
        <w:rPr>
          <w:b/>
          <w:bCs/>
          <w:color w:val="0F5257"/>
          <w:sz w:val="22"/>
          <w:szCs w:val="22"/>
        </w:rPr>
        <w:t xml:space="preserve">Diapositiva 4  </w:t>
      </w:r>
      <w:r>
        <w:rPr>
          <w:b/>
          <w:bCs/>
          <w:sz w:val="22"/>
          <w:szCs w:val="22"/>
        </w:rPr>
        <w:t xml:space="preserve">Qué cambiamos a partir de la devolución</w:t>
      </w:r>
      <w:r>
        <w:rPr>
          <w:b/>
          <w:bCs/>
          <w:color w:val="C8962E"/>
          <w:sz w:val="20"/>
          <w:szCs w:val="20"/>
        </w:rPr>
        <w:t xml:space="preserve">   0:35</w:t>
      </w:r>
    </w:p>
    <w:p>
      <w:pPr>
        <w:pBdr>
          <w:left w:val="single" w:color="C9DCDC" w:sz="12" w:space="10"/>
        </w:pBdr>
        <w:spacing w:after="120" w:line="320"/>
        <w:ind w:left="340"/>
      </w:pPr>
      <w:r>
        <w:rPr>
          <w:sz w:val="23"/>
          <w:szCs w:val="23"/>
        </w:rPr>
        <w:t xml:space="preserve">Esta versión responde a la devolución que recibimos. Los datos arrancan en mayo de 2007, cuando USO y HYG ya cotizan. Recortamos a una sola pregunta con horizonte explícito. Trabajamos solo con retornos, implementamos walk-forward con escalado por bloque, agregamos la línea de base y medimos la calibración con Brier. Cada cambio se puede verificar en el notebook.</w:t>
      </w:r>
    </w:p>
    <w:p>
      <w:pPr>
        <w:keepNext/>
        <w:spacing w:after="80" w:before="200"/>
      </w:pPr>
      <w:r>
        <w:rPr>
          <w:b/>
          <w:bCs/>
          <w:color w:val="0F5257"/>
          <w:sz w:val="22"/>
          <w:szCs w:val="22"/>
        </w:rPr>
        <w:t xml:space="preserve">Diapositiva 5  </w:t>
      </w:r>
      <w:r>
        <w:rPr>
          <w:b/>
          <w:bCs/>
          <w:sz w:val="22"/>
          <w:szCs w:val="22"/>
        </w:rPr>
        <w:t xml:space="preserve">Caso de estudio: AlphaTQ</w:t>
      </w:r>
      <w:r>
        <w:rPr>
          <w:b/>
          <w:bCs/>
          <w:color w:val="C8962E"/>
          <w:sz w:val="20"/>
          <w:szCs w:val="20"/>
        </w:rPr>
        <w:t xml:space="preserve">   0:40</w:t>
      </w:r>
    </w:p>
    <w:p>
      <w:pPr>
        <w:pBdr>
          <w:left w:val="single" w:color="C9DCDC" w:sz="12" w:space="10"/>
        </w:pBdr>
        <w:spacing w:after="120" w:line="320"/>
        <w:ind w:left="340"/>
      </w:pPr>
      <w:r>
        <w:rPr>
          <w:sz w:val="23"/>
          <w:szCs w:val="23"/>
        </w:rPr>
        <w:t xml:space="preserve">AlphaTQ es una plataforma de análisis cuantitativo que desarrollé, y en este trabajo es el caso de estudio, no lo que evaluamos. Si incorporáramos el modelo, viviría en la capa de percepción y entregaría una probabilidad. La capa de riesgo la usaría para decidir el tamaño de la posición, y la ejecución seguiría siendo determinista: la red es un sensor, no el piloto. Por eso nos importa tanto que la probabilidad esté bien calibrada.</w:t>
      </w:r>
    </w:p>
    <w:p>
      <w:pPr>
        <w:spacing w:after="200" w:before="120"/>
        <w:ind w:left="340"/>
      </w:pPr>
      <w:r>
        <w:rPr>
          <w:b/>
          <w:bCs/>
          <w:color w:val="C8962E"/>
          <w:sz w:val="21"/>
          <w:szCs w:val="21"/>
        </w:rPr>
        <w:t xml:space="preserve">Pase: </w:t>
      </w:r>
      <w:r>
        <w:rPr>
          <w:i/>
          <w:iCs/>
          <w:sz w:val="22"/>
          <w:szCs w:val="22"/>
        </w:rPr>
        <w:t xml:space="preserve">«Ahora Melisa explica los datos y el método.»</w:t>
      </w:r>
    </w:p>
    <w:p>
      <w:pPr>
        <w:pStyle w:val="Heading1"/>
      </w:pPr>
      <w:r>
        <w:t xml:space="preserve">Melisa Maldonado · Datos y metodología</w:t>
      </w:r>
    </w:p>
    <w:p>
      <w:pPr>
        <w:spacing w:after="160"/>
      </w:pPr>
      <w:r>
        <w:rPr>
          <w:color w:val="6B7280"/>
          <w:sz w:val="20"/>
          <w:szCs w:val="20"/>
        </w:rPr>
        <w:t xml:space="preserve">Tiempo del bloque: 3:10</w:t>
      </w:r>
    </w:p>
    <w:p>
      <w:pPr>
        <w:keepNext/>
        <w:spacing w:after="80" w:before="200"/>
      </w:pPr>
      <w:r>
        <w:rPr>
          <w:b/>
          <w:bCs/>
          <w:color w:val="0F5257"/>
          <w:sz w:val="22"/>
          <w:szCs w:val="22"/>
        </w:rPr>
        <w:t xml:space="preserve">Diapositiva 6  </w:t>
      </w:r>
      <w:r>
        <w:rPr>
          <w:b/>
          <w:bCs/>
          <w:sz w:val="22"/>
          <w:szCs w:val="22"/>
        </w:rPr>
        <w:t xml:space="preserve">Datos</w:t>
      </w:r>
      <w:r>
        <w:rPr>
          <w:b/>
          <w:bCs/>
          <w:color w:val="C8962E"/>
          <w:sz w:val="20"/>
          <w:szCs w:val="20"/>
        </w:rPr>
        <w:t xml:space="preserve">   0:30</w:t>
      </w:r>
    </w:p>
    <w:p>
      <w:pPr>
        <w:pBdr>
          <w:left w:val="single" w:color="C9DCDC" w:sz="12" w:space="10"/>
        </w:pBdr>
        <w:spacing w:after="120" w:line="320"/>
        <w:ind w:left="340"/>
      </w:pPr>
      <w:r>
        <w:rPr>
          <w:sz w:val="23"/>
          <w:szCs w:val="23"/>
        </w:rPr>
        <w:t xml:space="preserve">Trabajamos con nueve ETF y el VIX: renta variable, bonos, crédito, materias primas y sectores. El período común empieza en mayo de 2007 porque HYG empezó a cotizar en abril de ese año; así no tuvimos que imputar datos. La prueba fuera de muestra va de 2016 a 2026.</w:t>
      </w:r>
    </w:p>
    <w:p>
      <w:pPr>
        <w:keepNext/>
        <w:spacing w:after="80" w:before="200"/>
      </w:pPr>
      <w:r>
        <w:rPr>
          <w:b/>
          <w:bCs/>
          <w:color w:val="0F5257"/>
          <w:sz w:val="22"/>
          <w:szCs w:val="22"/>
        </w:rPr>
        <w:t xml:space="preserve">Diapositiva 7  </w:t>
      </w:r>
      <w:r>
        <w:rPr>
          <w:b/>
          <w:bCs/>
          <w:sz w:val="22"/>
          <w:szCs w:val="22"/>
        </w:rPr>
        <w:t xml:space="preserve">Variables y objetivo</w:t>
      </w:r>
      <w:r>
        <w:rPr>
          <w:b/>
          <w:bCs/>
          <w:color w:val="C8962E"/>
          <w:sz w:val="20"/>
          <w:szCs w:val="20"/>
        </w:rPr>
        <w:t xml:space="preserve">   0:30</w:t>
      </w:r>
    </w:p>
    <w:p>
      <w:pPr>
        <w:pBdr>
          <w:left w:val="single" w:color="C9DCDC" w:sz="12" w:space="10"/>
        </w:pBdr>
        <w:spacing w:after="120" w:line="320"/>
        <w:ind w:left="340"/>
      </w:pPr>
      <w:r>
        <w:rPr>
          <w:sz w:val="23"/>
          <w:szCs w:val="23"/>
        </w:rPr>
        <w:t xml:space="preserve">Construimos 78 variables, todas estacionarias: retornos, momentum, volatilidad realizada, distancia a la media móvil, volumen relativo, más tres variables transversales y tres del VIX. No usamos ningún nivel de precio. El objetivo es binario: vale uno si SPY sube entre hoy y dentro de cinco ruedas.</w:t>
      </w:r>
    </w:p>
    <w:p>
      <w:pPr>
        <w:keepNext/>
        <w:spacing w:after="80" w:before="200"/>
      </w:pPr>
      <w:r>
        <w:rPr>
          <w:b/>
          <w:bCs/>
          <w:color w:val="0F5257"/>
          <w:sz w:val="22"/>
          <w:szCs w:val="22"/>
        </w:rPr>
        <w:t xml:space="preserve">Diapositiva 8  </w:t>
      </w:r>
      <w:r>
        <w:rPr>
          <w:b/>
          <w:bCs/>
          <w:sz w:val="22"/>
          <w:szCs w:val="22"/>
        </w:rPr>
        <w:t xml:space="preserve">Modelos comparados</w:t>
      </w:r>
      <w:r>
        <w:rPr>
          <w:b/>
          <w:bCs/>
          <w:color w:val="C8962E"/>
          <w:sz w:val="20"/>
          <w:szCs w:val="20"/>
        </w:rPr>
        <w:t xml:space="preserve">   0:30</w:t>
      </w:r>
    </w:p>
    <w:p>
      <w:pPr>
        <w:pBdr>
          <w:left w:val="single" w:color="C9DCDC" w:sz="12" w:space="10"/>
        </w:pBdr>
        <w:spacing w:after="120" w:line="320"/>
        <w:ind w:left="340"/>
      </w:pPr>
      <w:r>
        <w:rPr>
          <w:sz w:val="23"/>
          <w:szCs w:val="23"/>
        </w:rPr>
        <w:t xml:space="preserve">Comparamos tres modelos. La línea de base predice siempre la frecuencia de subas del entrenamiento, que ronda el sesenta por ciento: es el piso a superar. La regresión logística usa las variables del día. Y la GRU recibe la secuencia completa de las últimas veinte ruedas.</w:t>
      </w:r>
    </w:p>
    <w:p>
      <w:pPr>
        <w:keepNext/>
        <w:spacing w:after="80" w:before="200"/>
      </w:pPr>
      <w:r>
        <w:rPr>
          <w:b/>
          <w:bCs/>
          <w:color w:val="0F5257"/>
          <w:sz w:val="22"/>
          <w:szCs w:val="22"/>
        </w:rPr>
        <w:t xml:space="preserve">Diapositiva 9  </w:t>
      </w:r>
      <w:r>
        <w:rPr>
          <w:b/>
          <w:bCs/>
          <w:sz w:val="22"/>
          <w:szCs w:val="22"/>
        </w:rPr>
        <w:t xml:space="preserve">Arquitectura de la GRU</w:t>
      </w:r>
      <w:r>
        <w:rPr>
          <w:b/>
          <w:bCs/>
          <w:color w:val="C8962E"/>
          <w:sz w:val="20"/>
          <w:szCs w:val="20"/>
        </w:rPr>
        <w:t xml:space="preserve">   0:30</w:t>
      </w:r>
    </w:p>
    <w:p>
      <w:pPr>
        <w:pBdr>
          <w:left w:val="single" w:color="C9DCDC" w:sz="12" w:space="10"/>
        </w:pBdr>
        <w:spacing w:after="120" w:line="320"/>
        <w:ind w:left="340"/>
      </w:pPr>
      <w:r>
        <w:rPr>
          <w:sz w:val="23"/>
          <w:szCs w:val="23"/>
        </w:rPr>
        <w:t xml:space="preserve">La GRU es deliberadamente chica: unos doce mil parámetros. Tiene ruido gaussiano en la entrada, regularización L2, dropout y label smoothing. La razón es que las etiquetas a cinco ruedas se solapan, así que las observaciones realmente independientes son alrededor de una quinta parte del total.</w:t>
      </w:r>
    </w:p>
    <w:p>
      <w:pPr>
        <w:keepNext/>
        <w:spacing w:after="80" w:before="200"/>
      </w:pPr>
      <w:r>
        <w:rPr>
          <w:b/>
          <w:bCs/>
          <w:color w:val="0F5257"/>
          <w:sz w:val="22"/>
          <w:szCs w:val="22"/>
        </w:rPr>
        <w:t xml:space="preserve">Diapositiva 10  </w:t>
      </w:r>
      <w:r>
        <w:rPr>
          <w:b/>
          <w:bCs/>
          <w:sz w:val="22"/>
          <w:szCs w:val="22"/>
        </w:rPr>
        <w:t xml:space="preserve">Validación walk-forward</w:t>
      </w:r>
      <w:r>
        <w:rPr>
          <w:b/>
          <w:bCs/>
          <w:color w:val="C8962E"/>
          <w:sz w:val="20"/>
          <w:szCs w:val="20"/>
        </w:rPr>
        <w:t xml:space="preserve">   0:35</w:t>
      </w:r>
    </w:p>
    <w:p>
      <w:pPr>
        <w:pBdr>
          <w:left w:val="single" w:color="C9DCDC" w:sz="12" w:space="10"/>
        </w:pBdr>
        <w:spacing w:after="120" w:line="320"/>
        <w:ind w:left="340"/>
      </w:pPr>
      <w:r>
        <w:rPr>
          <w:sz w:val="23"/>
          <w:szCs w:val="23"/>
        </w:rPr>
        <w:t xml:space="preserve">Validamos con walk-forward de ventana expansiva y cuatro bloques de prueba que cubren regímenes distintos, incluida la pandemia y el ciclo de tasas. En cada bloque reentrenamos los tres modelos desde cero, purgamos las últimas cinco ruedas del entrenamiento y ajustamos el escalado solo con datos de entrenamiento. Así ninguna información del futuro entra en el modelo.</w:t>
      </w:r>
    </w:p>
    <w:p>
      <w:pPr>
        <w:keepNext/>
        <w:spacing w:after="80" w:before="200"/>
      </w:pPr>
      <w:r>
        <w:rPr>
          <w:b/>
          <w:bCs/>
          <w:color w:val="0F5257"/>
          <w:sz w:val="22"/>
          <w:szCs w:val="22"/>
        </w:rPr>
        <w:t xml:space="preserve">Diapositiva 11  </w:t>
      </w:r>
      <w:r>
        <w:rPr>
          <w:b/>
          <w:bCs/>
          <w:sz w:val="22"/>
          <w:szCs w:val="22"/>
        </w:rPr>
        <w:t xml:space="preserve">Métricas</w:t>
      </w:r>
      <w:r>
        <w:rPr>
          <w:b/>
          <w:bCs/>
          <w:color w:val="C8962E"/>
          <w:sz w:val="20"/>
          <w:szCs w:val="20"/>
        </w:rPr>
        <w:t xml:space="preserve">   0:35</w:t>
      </w:r>
    </w:p>
    <w:p>
      <w:pPr>
        <w:pBdr>
          <w:left w:val="single" w:color="C9DCDC" w:sz="12" w:space="10"/>
        </w:pBdr>
        <w:spacing w:after="120" w:line="320"/>
        <w:ind w:left="340"/>
      </w:pPr>
      <w:r>
        <w:rPr>
          <w:sz w:val="23"/>
          <w:szCs w:val="23"/>
        </w:rPr>
        <w:t xml:space="preserve">La métrica principal es el puntaje de Brier, que mide la calidad de las probabilidades: castiga al modelo que dice estar muy seguro y se equivoca. El Brier Skill Score compara contra la línea de base: si es negativo, el modelo no aporta. Y para saber si las diferencias son reales o ruido usamos un bootstrap por bloques.</w:t>
      </w:r>
    </w:p>
    <w:p>
      <w:pPr>
        <w:spacing w:after="200" w:before="120"/>
        <w:ind w:left="340"/>
      </w:pPr>
      <w:r>
        <w:rPr>
          <w:b/>
          <w:bCs/>
          <w:color w:val="C8962E"/>
          <w:sz w:val="21"/>
          <w:szCs w:val="21"/>
        </w:rPr>
        <w:t xml:space="preserve">Pase: </w:t>
      </w:r>
      <w:r>
        <w:rPr>
          <w:i/>
          <w:iCs/>
          <w:sz w:val="22"/>
          <w:szCs w:val="22"/>
        </w:rPr>
        <w:t xml:space="preserve">«Diego Weber va a mostrar qué encontramos.»</w:t>
      </w:r>
    </w:p>
    <w:p>
      <w:pPr>
        <w:pStyle w:val="Heading1"/>
      </w:pPr>
      <w:r>
        <w:t xml:space="preserve">Diego Weber · Resultados y discusión</w:t>
      </w:r>
    </w:p>
    <w:p>
      <w:pPr>
        <w:spacing w:after="160"/>
      </w:pPr>
      <w:r>
        <w:rPr>
          <w:color w:val="6B7280"/>
          <w:sz w:val="20"/>
          <w:szCs w:val="20"/>
        </w:rPr>
        <w:t xml:space="preserve">Tiempo del bloque: 3:15</w:t>
      </w:r>
    </w:p>
    <w:p>
      <w:pPr>
        <w:keepNext/>
        <w:spacing w:after="80" w:before="200"/>
      </w:pPr>
      <w:r>
        <w:rPr>
          <w:b/>
          <w:bCs/>
          <w:color w:val="0F5257"/>
          <w:sz w:val="22"/>
          <w:szCs w:val="22"/>
        </w:rPr>
        <w:t xml:space="preserve">Diapositiva 12  </w:t>
      </w:r>
      <w:r>
        <w:rPr>
          <w:b/>
          <w:bCs/>
          <w:sz w:val="22"/>
          <w:szCs w:val="22"/>
        </w:rPr>
        <w:t xml:space="preserve">Ningún modelo supera a la línea de base</w:t>
      </w:r>
      <w:r>
        <w:rPr>
          <w:b/>
          <w:bCs/>
          <w:color w:val="C8962E"/>
          <w:sz w:val="20"/>
          <w:szCs w:val="20"/>
        </w:rPr>
        <w:t xml:space="preserve">   0:40</w:t>
      </w:r>
    </w:p>
    <w:p>
      <w:pPr>
        <w:pBdr>
          <w:left w:val="single" w:color="C9DCDC" w:sz="12" w:space="10"/>
        </w:pBdr>
        <w:spacing w:after="120" w:line="320"/>
        <w:ind w:left="340"/>
      </w:pPr>
      <w:r>
        <w:rPr>
          <w:sz w:val="23"/>
          <w:szCs w:val="23"/>
        </w:rPr>
        <w:t xml:space="preserve">El resultado principal es que ningún modelo supera a la línea de base. Tiene el menor Brier en los cuatro bloques: 0,2376, contra 0,2508 de la GRU y 0,2656 de la logística. Los dos modelos tienen Brier Skill Score negativo en todos los bloques, y sus AUC quedan entre 0,48 y 0,56, apenas por encima del azar.</w:t>
      </w:r>
    </w:p>
    <w:p>
      <w:pPr>
        <w:keepNext/>
        <w:spacing w:after="80" w:before="200"/>
      </w:pPr>
      <w:r>
        <w:rPr>
          <w:b/>
          <w:bCs/>
          <w:color w:val="0F5257"/>
          <w:sz w:val="22"/>
          <w:szCs w:val="22"/>
        </w:rPr>
        <w:t xml:space="preserve">Diapositiva 13  </w:t>
      </w:r>
      <w:r>
        <w:rPr>
          <w:b/>
          <w:bCs/>
          <w:sz w:val="22"/>
          <w:szCs w:val="22"/>
        </w:rPr>
        <w:t xml:space="preserve">Dinámica de entrenamiento</w:t>
      </w:r>
      <w:r>
        <w:rPr>
          <w:b/>
          <w:bCs/>
          <w:color w:val="C8962E"/>
          <w:sz w:val="20"/>
          <w:szCs w:val="20"/>
        </w:rPr>
        <w:t xml:space="preserve">   0:30</w:t>
      </w:r>
    </w:p>
    <w:p>
      <w:pPr>
        <w:pBdr>
          <w:left w:val="single" w:color="C9DCDC" w:sz="12" w:space="10"/>
        </w:pBdr>
        <w:spacing w:after="120" w:line="320"/>
        <w:ind w:left="340"/>
      </w:pPr>
      <w:r>
        <w:rPr>
          <w:sz w:val="23"/>
          <w:szCs w:val="23"/>
        </w:rPr>
        <w:t xml:space="preserve">En el entrenamiento vimos algo revelador. La pérdida de validación siguió bajando las diez épocas, así que la parada temprana nunca se activó. Pero el AUC de validación tuvo su pico en la primera época y después cayó. La red mejora la pérdida acercándose a la frecuencia de subas, no aprendiendo a distinguir semanas buenas de malas.</w:t>
      </w:r>
    </w:p>
    <w:p>
      <w:pPr>
        <w:keepNext/>
        <w:spacing w:after="80" w:before="200"/>
      </w:pPr>
      <w:r>
        <w:rPr>
          <w:b/>
          <w:bCs/>
          <w:color w:val="0F5257"/>
          <w:sz w:val="22"/>
          <w:szCs w:val="22"/>
        </w:rPr>
        <w:t xml:space="preserve">Diapositiva 14  </w:t>
      </w:r>
      <w:r>
        <w:rPr>
          <w:b/>
          <w:bCs/>
          <w:sz w:val="22"/>
          <w:szCs w:val="22"/>
        </w:rPr>
        <w:t xml:space="preserve">Calibración y significancia</w:t>
      </w:r>
      <w:r>
        <w:rPr>
          <w:b/>
          <w:bCs/>
          <w:color w:val="C8962E"/>
          <w:sz w:val="20"/>
          <w:szCs w:val="20"/>
        </w:rPr>
        <w:t xml:space="preserve">   0:40</w:t>
      </w:r>
    </w:p>
    <w:p>
      <w:pPr>
        <w:pBdr>
          <w:left w:val="single" w:color="C9DCDC" w:sz="12" w:space="10"/>
        </w:pBdr>
        <w:spacing w:after="120" w:line="320"/>
        <w:ind w:left="340"/>
      </w:pPr>
      <w:r>
        <w:rPr>
          <w:sz w:val="23"/>
          <w:szCs w:val="23"/>
        </w:rPr>
        <w:t xml:space="preserve">El diagrama de confiabilidad lo confirma: las curvas son casi horizontales. Prediga lo que prediga el modelo, la frecuencia real queda cerca del sesenta por ciento. La GRU está mejor calibrada que la logística, y esa diferencia es significativa, pero no discrimina mejor: la diferencia de AUC no lo es. Su ventaja viene de contraer sus probabilidades hacia la frecuencia base.</w:t>
      </w:r>
    </w:p>
    <w:p>
      <w:pPr>
        <w:keepNext/>
        <w:spacing w:after="80" w:before="200"/>
      </w:pPr>
      <w:r>
        <w:rPr>
          <w:b/>
          <w:bCs/>
          <w:color w:val="0F5257"/>
          <w:sz w:val="22"/>
          <w:szCs w:val="22"/>
        </w:rPr>
        <w:t xml:space="preserve">Diapositiva 15  </w:t>
      </w:r>
      <w:r>
        <w:rPr>
          <w:b/>
          <w:bCs/>
          <w:sz w:val="22"/>
          <w:szCs w:val="22"/>
        </w:rPr>
        <w:t xml:space="preserve">Evaluación económica</w:t>
      </w:r>
      <w:r>
        <w:rPr>
          <w:b/>
          <w:bCs/>
          <w:color w:val="C8962E"/>
          <w:sz w:val="20"/>
          <w:szCs w:val="20"/>
        </w:rPr>
        <w:t xml:space="preserve">   0:30</w:t>
      </w:r>
    </w:p>
    <w:p>
      <w:pPr>
        <w:pBdr>
          <w:left w:val="single" w:color="C9DCDC" w:sz="12" w:space="10"/>
        </w:pBdr>
        <w:spacing w:after="120" w:line="320"/>
        <w:ind w:left="340"/>
      </w:pPr>
      <w:r>
        <w:rPr>
          <w:sz w:val="23"/>
          <w:szCs w:val="23"/>
        </w:rPr>
        <w:t xml:space="preserve">En la simulación económica las estrategias caen mucho menos que SPY, pero no por acierto: con medio Kelly la exposición promedio es de apenas el once por ciento. Su Sharpe es menor que el de mantener SPY, así que no hay valor económico.</w:t>
      </w:r>
    </w:p>
    <w:p>
      <w:pPr>
        <w:keepNext/>
        <w:spacing w:after="80" w:before="200"/>
      </w:pPr>
      <w:r>
        <w:rPr>
          <w:b/>
          <w:bCs/>
          <w:color w:val="0F5257"/>
          <w:sz w:val="22"/>
          <w:szCs w:val="22"/>
        </w:rPr>
        <w:t xml:space="preserve">Diapositiva 16  </w:t>
      </w:r>
      <w:r>
        <w:rPr>
          <w:b/>
          <w:bCs/>
          <w:sz w:val="22"/>
          <w:szCs w:val="22"/>
        </w:rPr>
        <w:t xml:space="preserve">Discusión</w:t>
      </w:r>
      <w:r>
        <w:rPr>
          <w:b/>
          <w:bCs/>
          <w:color w:val="C8962E"/>
          <w:sz w:val="20"/>
          <w:szCs w:val="20"/>
        </w:rPr>
        <w:t xml:space="preserve">   0:35</w:t>
      </w:r>
    </w:p>
    <w:p>
      <w:pPr>
        <w:pBdr>
          <w:left w:val="single" w:color="C9DCDC" w:sz="12" w:space="10"/>
        </w:pBdr>
        <w:spacing w:after="120" w:line="320"/>
        <w:ind w:left="340"/>
      </w:pPr>
      <w:r>
        <w:rPr>
          <w:sz w:val="23"/>
          <w:szCs w:val="23"/>
        </w:rPr>
        <w:t xml:space="preserve">Respondemos las tres preguntas. ¿Algún modelo supera a la línea de base? No. ¿Aporta procesar la secuencia? Solo en calibración. ¿Y para AlphaTQ? La lectura de este sensor hoy no agrega información, así que no usaríamos su probabilidad como señal direccional.</w:t>
      </w:r>
    </w:p>
    <w:p>
      <w:pPr>
        <w:keepNext/>
        <w:spacing w:after="80" w:before="200"/>
      </w:pPr>
      <w:r>
        <w:rPr>
          <w:b/>
          <w:bCs/>
          <w:color w:val="0F5257"/>
          <w:sz w:val="22"/>
          <w:szCs w:val="22"/>
        </w:rPr>
        <w:t xml:space="preserve">Diapositiva 17  </w:t>
      </w:r>
      <w:r>
        <w:rPr>
          <w:b/>
          <w:bCs/>
          <w:sz w:val="22"/>
          <w:szCs w:val="22"/>
        </w:rPr>
        <w:t xml:space="preserve">Limitaciones</w:t>
      </w:r>
      <w:r>
        <w:rPr>
          <w:b/>
          <w:bCs/>
          <w:color w:val="C8962E"/>
          <w:sz w:val="20"/>
          <w:szCs w:val="20"/>
        </w:rPr>
        <w:t xml:space="preserve">   0:20</w:t>
      </w:r>
    </w:p>
    <w:p>
      <w:pPr>
        <w:pBdr>
          <w:left w:val="single" w:color="C9DCDC" w:sz="12" w:space="10"/>
        </w:pBdr>
        <w:spacing w:after="120" w:line="320"/>
        <w:ind w:left="340"/>
      </w:pPr>
      <w:r>
        <w:rPr>
          <w:sz w:val="23"/>
          <w:szCs w:val="23"/>
        </w:rPr>
        <w:t xml:space="preserve">Las limitaciones principales son tres: un solo activo y un solo horizonte, una sola semilla, y un criterio de parada temprana que no detectó la caída del AUC.</w:t>
      </w:r>
    </w:p>
    <w:p>
      <w:pPr>
        <w:spacing w:after="200" w:before="120"/>
        <w:ind w:left="340"/>
      </w:pPr>
      <w:r>
        <w:rPr>
          <w:b/>
          <w:bCs/>
          <w:color w:val="C8962E"/>
          <w:sz w:val="21"/>
          <w:szCs w:val="21"/>
        </w:rPr>
        <w:t xml:space="preserve">Pase: </w:t>
      </w:r>
      <w:r>
        <w:rPr>
          <w:i/>
          <w:iCs/>
          <w:sz w:val="22"/>
          <w:szCs w:val="22"/>
        </w:rPr>
        <w:t xml:space="preserve">«Diego cierra con las conclusiones.»</w:t>
      </w:r>
    </w:p>
    <w:p>
      <w:pPr>
        <w:pStyle w:val="Heading1"/>
      </w:pPr>
      <w:r>
        <w:t xml:space="preserve">Diego Diamanti · Cierre</w:t>
      </w:r>
    </w:p>
    <w:p>
      <w:pPr>
        <w:spacing w:after="160"/>
      </w:pPr>
      <w:r>
        <w:rPr>
          <w:color w:val="6B7280"/>
          <w:sz w:val="20"/>
          <w:szCs w:val="20"/>
        </w:rPr>
        <w:t xml:space="preserve">Tiempo del bloque: 0:30</w:t>
      </w:r>
    </w:p>
    <w:p>
      <w:pPr>
        <w:keepNext/>
        <w:spacing w:after="80" w:before="200"/>
      </w:pPr>
      <w:r>
        <w:rPr>
          <w:b/>
          <w:bCs/>
          <w:color w:val="0F5257"/>
          <w:sz w:val="22"/>
          <w:szCs w:val="22"/>
        </w:rPr>
        <w:t xml:space="preserve">Diapositiva 18  </w:t>
      </w:r>
      <w:r>
        <w:rPr>
          <w:b/>
          <w:bCs/>
          <w:sz w:val="22"/>
          <w:szCs w:val="22"/>
        </w:rPr>
        <w:t xml:space="preserve">Conclusiones y trabajo futuro</w:t>
      </w:r>
      <w:r>
        <w:rPr>
          <w:b/>
          <w:bCs/>
          <w:color w:val="C8962E"/>
          <w:sz w:val="20"/>
          <w:szCs w:val="20"/>
        </w:rPr>
        <w:t xml:space="preserve">   0:30</w:t>
      </w:r>
    </w:p>
    <w:p>
      <w:pPr>
        <w:pBdr>
          <w:left w:val="single" w:color="C9DCDC" w:sz="12" w:space="10"/>
        </w:pBdr>
        <w:spacing w:after="120" w:line="320"/>
        <w:ind w:left="340"/>
      </w:pPr>
      <w:r>
        <w:rPr>
          <w:sz w:val="23"/>
          <w:szCs w:val="23"/>
        </w:rPr>
        <w:t xml:space="preserve">Para cerrar: frente a la regresión logística, la respuesta es sí, pero solo en calibración. Frente a la línea de base, la respuesta es no. Para nosotros el aporte del trabajo es el protocolo: validación temporal, una línea de base exigente y pruebas de significancia, que nos permiten afirmarlo con fundamento sin sobreestimar una red neuronal. Muchas gracias; quedamos abiertos a preguntas.</w:t>
      </w:r>
    </w:p>
    <w:p>
      <w:pPr>
        <w:pStyle w:val="Heading1"/>
        <w:pageBreakBefore/>
      </w:pPr>
      <w:r>
        <w:t xml:space="preserve">Preguntas probables: quién responde</w:t>
      </w:r>
    </w:p>
    <w:p>
      <w:pPr>
        <w:spacing w:after="160"/>
      </w:pPr>
      <w:r>
        <w:rPr>
          <w:color w:val="6B7280"/>
          <w:sz w:val="21"/>
          <w:szCs w:val="21"/>
        </w:rPr>
        <w:t xml:space="preserve">Responde quien presentó el tema. Si la pregunta es de otro bloque, pasarla con un «eso lo trabajó…». La diapositiva 20 resume estas respuestas.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470"/>
      </w:tblGrid>
      <w:tr>
        <w:trPr>
          <w:tblHeader/>
        </w:trPr>
        <w:tc>
          <w:tcPr>
            <w:tcW w:type="dxa" w:w="2900"/>
            <w:tcBorders>
              <w:top w:val="single" w:color="D5DADF" w:sz="4"/>
              <w:left w:val="none" w:color="FFFFFF" w:sz="0"/>
              <w:bottom w:val="single" w:color="D5DADF" w:sz="4"/>
              <w:right w:val="none" w:color="FFFFFF" w:sz="0"/>
            </w:tcBorders>
            <w:shd w:fill="0F5257" w:color="auto" w:val="clear"/>
            <w:tcMar>
              <w:top w:type="dxa" w:w="70"/>
              <w:left w:type="dxa" w:w="110"/>
              <w:bottom w:type="dxa" w:w="70"/>
              <w:right w:type="dxa" w:w="110"/>
            </w:tcMar>
            <w:vAlign w:val="center"/>
          </w:tcPr>
          <w:p>
            <w:pPr>
              <w:jc w:val="left"/>
            </w:pPr>
            <w:r>
              <w:rPr>
                <w:b/>
                <w:bCs/>
                <w:color w:val="FFFFFF"/>
                <w:sz w:val="20"/>
                <w:szCs w:val="20"/>
              </w:rPr>
              <w:t xml:space="preserve">Pregunta</w:t>
            </w:r>
          </w:p>
        </w:tc>
        <w:tc>
          <w:tcPr>
            <w:tcW w:type="dxa" w:w="1700"/>
            <w:tcBorders>
              <w:top w:val="single" w:color="D5DADF" w:sz="4"/>
              <w:left w:val="none" w:color="FFFFFF" w:sz="0"/>
              <w:bottom w:val="single" w:color="D5DADF" w:sz="4"/>
              <w:right w:val="none" w:color="FFFFFF" w:sz="0"/>
            </w:tcBorders>
            <w:shd w:fill="0F5257" w:color="auto" w:val="clear"/>
            <w:tcMar>
              <w:top w:type="dxa" w:w="70"/>
              <w:left w:type="dxa" w:w="110"/>
              <w:bottom w:type="dxa" w:w="70"/>
              <w:right w:type="dxa" w:w="110"/>
            </w:tcMar>
            <w:vAlign w:val="center"/>
          </w:tcPr>
          <w:p>
            <w:pPr>
              <w:jc w:val="left"/>
            </w:pPr>
            <w:r>
              <w:rPr>
                <w:b/>
                <w:bCs/>
                <w:color w:val="FFFFFF"/>
                <w:sz w:val="20"/>
                <w:szCs w:val="20"/>
              </w:rPr>
              <w:t xml:space="preserve">Responde</w:t>
            </w:r>
          </w:p>
        </w:tc>
        <w:tc>
          <w:tcPr>
            <w:tcW w:type="dxa" w:w="4470"/>
            <w:tcBorders>
              <w:top w:val="single" w:color="D5DADF" w:sz="4"/>
              <w:left w:val="none" w:color="FFFFFF" w:sz="0"/>
              <w:bottom w:val="single" w:color="D5DADF" w:sz="4"/>
              <w:right w:val="none" w:color="FFFFFF" w:sz="0"/>
            </w:tcBorders>
            <w:shd w:fill="0F5257" w:color="auto" w:val="clear"/>
            <w:tcMar>
              <w:top w:type="dxa" w:w="70"/>
              <w:left w:type="dxa" w:w="110"/>
              <w:bottom w:type="dxa" w:w="70"/>
              <w:right w:type="dxa" w:w="110"/>
            </w:tcMar>
            <w:vAlign w:val="center"/>
          </w:tcPr>
          <w:p>
            <w:pPr>
              <w:jc w:val="left"/>
            </w:pPr>
            <w:r>
              <w:rPr>
                <w:b/>
                <w:bCs/>
                <w:color w:val="FFFFFF"/>
                <w:sz w:val="20"/>
                <w:szCs w:val="20"/>
              </w:rPr>
              <w:t xml:space="preserve">Respuesta corta</w:t>
            </w:r>
          </w:p>
        </w:tc>
      </w:tr>
      <w:tr>
        <w:trPr>
          <w:cantSplit/>
        </w:trPr>
        <w:tc>
          <w:tcPr>
            <w:tcW w:type="dxa" w:w="290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bCs/>
                <w:color w:val="1F2A37"/>
                <w:sz w:val="20"/>
                <w:szCs w:val="20"/>
              </w:rPr>
              <w:t xml:space="preserve">¿Por qué la GRU no le gana a la línea de base?</w:t>
            </w:r>
          </w:p>
        </w:tc>
        <w:tc>
          <w:tcPr>
            <w:tcW w:type="dxa" w:w="170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val="false"/>
                <w:bCs w:val="false"/>
                <w:color w:val="1F2A37"/>
                <w:sz w:val="20"/>
                <w:szCs w:val="20"/>
              </w:rPr>
              <w:t xml:space="preserve">Diego Weber</w:t>
            </w:r>
          </w:p>
        </w:tc>
        <w:tc>
          <w:tcPr>
            <w:tcW w:type="dxa" w:w="447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val="false"/>
                <w:bCs w:val="false"/>
                <w:color w:val="1F2A37"/>
                <w:sz w:val="20"/>
                <w:szCs w:val="20"/>
              </w:rPr>
              <w:t xml:space="preserve">Porque sus desvíos respecto de la frecuencia de subas no contienen información: el diagrama de confiabilidad es plano. Predecir siempre el 60% es la mejor estimación disponible.</w:t>
            </w:r>
          </w:p>
        </w:tc>
      </w:tr>
      <w:tr>
        <w:trPr>
          <w:cantSplit/>
        </w:trPr>
        <w:tc>
          <w:tcPr>
            <w:tcW w:type="dxa" w:w="2900"/>
            <w:tcBorders>
              <w:top w:val="single" w:color="D5DADF" w:sz="4"/>
              <w:left w:val="none" w:color="FFFFFF" w:sz="0"/>
              <w:bottom w:val="single" w:color="D5DADF" w:sz="4"/>
              <w:right w:val="none" w:color="FFFFFF" w:sz="0"/>
            </w:tcBorders>
            <w:shd w:fill="F4F7F7" w:color="auto" w:val="clear"/>
            <w:tcMar>
              <w:top w:type="dxa" w:w="70"/>
              <w:left w:type="dxa" w:w="110"/>
              <w:bottom w:type="dxa" w:w="70"/>
              <w:right w:type="dxa" w:w="110"/>
            </w:tcMar>
            <w:vAlign w:val="center"/>
          </w:tcPr>
          <w:p>
            <w:pPr>
              <w:jc w:val="left"/>
            </w:pPr>
            <w:r>
              <w:rPr>
                <w:b/>
                <w:bCs/>
                <w:color w:val="1F2A37"/>
                <w:sz w:val="20"/>
                <w:szCs w:val="20"/>
              </w:rPr>
              <w:t xml:space="preserve">Entonces, ¿la GRU es mejor que la logística?</w:t>
            </w:r>
          </w:p>
        </w:tc>
        <w:tc>
          <w:tcPr>
            <w:tcW w:type="dxa" w:w="1700"/>
            <w:tcBorders>
              <w:top w:val="single" w:color="D5DADF" w:sz="4"/>
              <w:left w:val="none" w:color="FFFFFF" w:sz="0"/>
              <w:bottom w:val="single" w:color="D5DADF" w:sz="4"/>
              <w:right w:val="none" w:color="FFFFFF" w:sz="0"/>
            </w:tcBorders>
            <w:shd w:fill="F4F7F7" w:color="auto" w:val="clear"/>
            <w:tcMar>
              <w:top w:type="dxa" w:w="70"/>
              <w:left w:type="dxa" w:w="110"/>
              <w:bottom w:type="dxa" w:w="70"/>
              <w:right w:type="dxa" w:w="110"/>
            </w:tcMar>
            <w:vAlign w:val="center"/>
          </w:tcPr>
          <w:p>
            <w:pPr>
              <w:jc w:val="left"/>
            </w:pPr>
            <w:r>
              <w:rPr>
                <w:b w:val="false"/>
                <w:bCs w:val="false"/>
                <w:color w:val="1F2A37"/>
                <w:sz w:val="20"/>
                <w:szCs w:val="20"/>
              </w:rPr>
              <w:t xml:space="preserve">Diego Weber</w:t>
            </w:r>
          </w:p>
        </w:tc>
        <w:tc>
          <w:tcPr>
            <w:tcW w:type="dxa" w:w="4470"/>
            <w:tcBorders>
              <w:top w:val="single" w:color="D5DADF" w:sz="4"/>
              <w:left w:val="none" w:color="FFFFFF" w:sz="0"/>
              <w:bottom w:val="single" w:color="D5DADF" w:sz="4"/>
              <w:right w:val="none" w:color="FFFFFF" w:sz="0"/>
            </w:tcBorders>
            <w:shd w:fill="F4F7F7" w:color="auto" w:val="clear"/>
            <w:tcMar>
              <w:top w:type="dxa" w:w="70"/>
              <w:left w:type="dxa" w:w="110"/>
              <w:bottom w:type="dxa" w:w="70"/>
              <w:right w:type="dxa" w:w="110"/>
            </w:tcMar>
            <w:vAlign w:val="center"/>
          </w:tcPr>
          <w:p>
            <w:pPr>
              <w:jc w:val="left"/>
            </w:pPr>
            <w:r>
              <w:rPr>
                <w:b w:val="false"/>
                <w:bCs w:val="false"/>
                <w:color w:val="1F2A37"/>
                <w:sz w:val="20"/>
                <w:szCs w:val="20"/>
              </w:rPr>
              <w:t xml:space="preserve">Solo en calibración: Brier 0,2508 contra 0,2656, diferencia significativa. En AUC no hay diferencia (0,513 contra 0,519).</w:t>
            </w:r>
          </w:p>
        </w:tc>
      </w:tr>
      <w:tr>
        <w:trPr>
          <w:cantSplit/>
        </w:trPr>
        <w:tc>
          <w:tcPr>
            <w:tcW w:type="dxa" w:w="290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bCs/>
                <w:color w:val="1F2A37"/>
                <w:sz w:val="20"/>
                <w:szCs w:val="20"/>
              </w:rPr>
              <w:t xml:space="preserve">¿Cómo saben que no hay fuga de información?</w:t>
            </w:r>
          </w:p>
        </w:tc>
        <w:tc>
          <w:tcPr>
            <w:tcW w:type="dxa" w:w="170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val="false"/>
                <w:bCs w:val="false"/>
                <w:color w:val="1F2A37"/>
                <w:sz w:val="20"/>
                <w:szCs w:val="20"/>
              </w:rPr>
              <w:t xml:space="preserve">Melisa Maldonado</w:t>
            </w:r>
          </w:p>
        </w:tc>
        <w:tc>
          <w:tcPr>
            <w:tcW w:type="dxa" w:w="447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val="false"/>
                <w:bCs w:val="false"/>
                <w:color w:val="1F2A37"/>
                <w:sz w:val="20"/>
                <w:szCs w:val="20"/>
              </w:rPr>
              <w:t xml:space="preserve">Walk-forward con reentrenamiento por bloque, purga de cinco ruedas, escalado ajustado solo con entrenamiento y variables calculadas con datos hasta t.</w:t>
            </w:r>
          </w:p>
        </w:tc>
      </w:tr>
      <w:tr>
        <w:trPr>
          <w:cantSplit/>
        </w:trPr>
        <w:tc>
          <w:tcPr>
            <w:tcW w:type="dxa" w:w="2900"/>
            <w:tcBorders>
              <w:top w:val="single" w:color="D5DADF" w:sz="4"/>
              <w:left w:val="none" w:color="FFFFFF" w:sz="0"/>
              <w:bottom w:val="single" w:color="D5DADF" w:sz="4"/>
              <w:right w:val="none" w:color="FFFFFF" w:sz="0"/>
            </w:tcBorders>
            <w:shd w:fill="F4F7F7" w:color="auto" w:val="clear"/>
            <w:tcMar>
              <w:top w:type="dxa" w:w="70"/>
              <w:left w:type="dxa" w:w="110"/>
              <w:bottom w:type="dxa" w:w="70"/>
              <w:right w:type="dxa" w:w="110"/>
            </w:tcMar>
            <w:vAlign w:val="center"/>
          </w:tcPr>
          <w:p>
            <w:pPr>
              <w:jc w:val="left"/>
            </w:pPr>
            <w:r>
              <w:rPr>
                <w:b/>
                <w:bCs/>
                <w:color w:val="1F2A37"/>
                <w:sz w:val="20"/>
                <w:szCs w:val="20"/>
              </w:rPr>
              <w:t xml:space="preserve">¿Por qué no se detuvo en la época 2?</w:t>
            </w:r>
          </w:p>
        </w:tc>
        <w:tc>
          <w:tcPr>
            <w:tcW w:type="dxa" w:w="1700"/>
            <w:tcBorders>
              <w:top w:val="single" w:color="D5DADF" w:sz="4"/>
              <w:left w:val="none" w:color="FFFFFF" w:sz="0"/>
              <w:bottom w:val="single" w:color="D5DADF" w:sz="4"/>
              <w:right w:val="none" w:color="FFFFFF" w:sz="0"/>
            </w:tcBorders>
            <w:shd w:fill="F4F7F7" w:color="auto" w:val="clear"/>
            <w:tcMar>
              <w:top w:type="dxa" w:w="70"/>
              <w:left w:type="dxa" w:w="110"/>
              <w:bottom w:type="dxa" w:w="70"/>
              <w:right w:type="dxa" w:w="110"/>
            </w:tcMar>
            <w:vAlign w:val="center"/>
          </w:tcPr>
          <w:p>
            <w:pPr>
              <w:jc w:val="left"/>
            </w:pPr>
            <w:r>
              <w:rPr>
                <w:b w:val="false"/>
                <w:bCs w:val="false"/>
                <w:color w:val="1F2A37"/>
                <w:sz w:val="20"/>
                <w:szCs w:val="20"/>
              </w:rPr>
              <w:t xml:space="preserve">Melisa Maldonado</w:t>
            </w:r>
          </w:p>
        </w:tc>
        <w:tc>
          <w:tcPr>
            <w:tcW w:type="dxa" w:w="4470"/>
            <w:tcBorders>
              <w:top w:val="single" w:color="D5DADF" w:sz="4"/>
              <w:left w:val="none" w:color="FFFFFF" w:sz="0"/>
              <w:bottom w:val="single" w:color="D5DADF" w:sz="4"/>
              <w:right w:val="none" w:color="FFFFFF" w:sz="0"/>
            </w:tcBorders>
            <w:shd w:fill="F4F7F7" w:color="auto" w:val="clear"/>
            <w:tcMar>
              <w:top w:type="dxa" w:w="70"/>
              <w:left w:type="dxa" w:w="110"/>
              <w:bottom w:type="dxa" w:w="70"/>
              <w:right w:type="dxa" w:w="110"/>
            </w:tcMar>
            <w:vAlign w:val="center"/>
          </w:tcPr>
          <w:p>
            <w:pPr>
              <w:jc w:val="left"/>
            </w:pPr>
            <w:r>
              <w:rPr>
                <w:b w:val="false"/>
                <w:bCs w:val="false"/>
                <w:color w:val="1F2A37"/>
                <w:sz w:val="20"/>
                <w:szCs w:val="20"/>
              </w:rPr>
              <w:t xml:space="preserve">La parada temprana monitorea la pérdida, que siguió bajando. El AUC sí cayó desde la época 1. Monitorear AUC o Brier es trabajo futuro.</w:t>
            </w:r>
          </w:p>
        </w:tc>
      </w:tr>
      <w:tr>
        <w:trPr>
          <w:cantSplit/>
        </w:trPr>
        <w:tc>
          <w:tcPr>
            <w:tcW w:type="dxa" w:w="290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bCs/>
                <w:color w:val="1F2A37"/>
                <w:sz w:val="20"/>
                <w:szCs w:val="20"/>
              </w:rPr>
              <w:t xml:space="preserve">¿Por qué empiezan en mayo de 2007?</w:t>
            </w:r>
          </w:p>
        </w:tc>
        <w:tc>
          <w:tcPr>
            <w:tcW w:type="dxa" w:w="170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val="false"/>
                <w:bCs w:val="false"/>
                <w:color w:val="1F2A37"/>
                <w:sz w:val="20"/>
                <w:szCs w:val="20"/>
              </w:rPr>
              <w:t xml:space="preserve">Melisa Maldonado</w:t>
            </w:r>
          </w:p>
        </w:tc>
        <w:tc>
          <w:tcPr>
            <w:tcW w:type="dxa" w:w="447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val="false"/>
                <w:bCs w:val="false"/>
                <w:color w:val="1F2A37"/>
                <w:sz w:val="20"/>
                <w:szCs w:val="20"/>
              </w:rPr>
              <w:t xml:space="preserve">Porque HYG empezó a cotizar en abril de 2007 y USO en 2006. Antes habría que imputar datos.</w:t>
            </w:r>
          </w:p>
        </w:tc>
      </w:tr>
      <w:tr>
        <w:trPr>
          <w:cantSplit/>
        </w:trPr>
        <w:tc>
          <w:tcPr>
            <w:tcW w:type="dxa" w:w="2900"/>
            <w:tcBorders>
              <w:top w:val="single" w:color="D5DADF" w:sz="4"/>
              <w:left w:val="none" w:color="FFFFFF" w:sz="0"/>
              <w:bottom w:val="single" w:color="D5DADF" w:sz="4"/>
              <w:right w:val="none" w:color="FFFFFF" w:sz="0"/>
            </w:tcBorders>
            <w:shd w:fill="F4F7F7" w:color="auto" w:val="clear"/>
            <w:tcMar>
              <w:top w:type="dxa" w:w="70"/>
              <w:left w:type="dxa" w:w="110"/>
              <w:bottom w:type="dxa" w:w="70"/>
              <w:right w:type="dxa" w:w="110"/>
            </w:tcMar>
            <w:vAlign w:val="center"/>
          </w:tcPr>
          <w:p>
            <w:pPr>
              <w:jc w:val="left"/>
            </w:pPr>
            <w:r>
              <w:rPr>
                <w:b/>
                <w:bCs/>
                <w:color w:val="1F2A37"/>
                <w:sz w:val="20"/>
                <w:szCs w:val="20"/>
              </w:rPr>
              <w:t xml:space="preserve">¿Por qué tan poca caída en la simulación?</w:t>
            </w:r>
          </w:p>
        </w:tc>
        <w:tc>
          <w:tcPr>
            <w:tcW w:type="dxa" w:w="1700"/>
            <w:tcBorders>
              <w:top w:val="single" w:color="D5DADF" w:sz="4"/>
              <w:left w:val="none" w:color="FFFFFF" w:sz="0"/>
              <w:bottom w:val="single" w:color="D5DADF" w:sz="4"/>
              <w:right w:val="none" w:color="FFFFFF" w:sz="0"/>
            </w:tcBorders>
            <w:shd w:fill="F4F7F7" w:color="auto" w:val="clear"/>
            <w:tcMar>
              <w:top w:type="dxa" w:w="70"/>
              <w:left w:type="dxa" w:w="110"/>
              <w:bottom w:type="dxa" w:w="70"/>
              <w:right w:type="dxa" w:w="110"/>
            </w:tcMar>
            <w:vAlign w:val="center"/>
          </w:tcPr>
          <w:p>
            <w:pPr>
              <w:jc w:val="left"/>
            </w:pPr>
            <w:r>
              <w:rPr>
                <w:b w:val="false"/>
                <w:bCs w:val="false"/>
                <w:color w:val="1F2A37"/>
                <w:sz w:val="20"/>
                <w:szCs w:val="20"/>
              </w:rPr>
              <w:t xml:space="preserve">Diego Weber</w:t>
            </w:r>
          </w:p>
        </w:tc>
        <w:tc>
          <w:tcPr>
            <w:tcW w:type="dxa" w:w="4470"/>
            <w:tcBorders>
              <w:top w:val="single" w:color="D5DADF" w:sz="4"/>
              <w:left w:val="none" w:color="FFFFFF" w:sz="0"/>
              <w:bottom w:val="single" w:color="D5DADF" w:sz="4"/>
              <w:right w:val="none" w:color="FFFFFF" w:sz="0"/>
            </w:tcBorders>
            <w:shd w:fill="F4F7F7" w:color="auto" w:val="clear"/>
            <w:tcMar>
              <w:top w:type="dxa" w:w="70"/>
              <w:left w:type="dxa" w:w="110"/>
              <w:bottom w:type="dxa" w:w="70"/>
              <w:right w:type="dxa" w:w="110"/>
            </w:tcMar>
            <w:vAlign w:val="center"/>
          </w:tcPr>
          <w:p>
            <w:pPr>
              <w:jc w:val="left"/>
            </w:pPr>
            <w:r>
              <w:rPr>
                <w:b w:val="false"/>
                <w:bCs w:val="false"/>
                <w:color w:val="1F2A37"/>
                <w:sz w:val="20"/>
                <w:szCs w:val="20"/>
              </w:rPr>
              <w:t xml:space="preserve">Por la exposición media de 11%, no por acierto. El Sharpe es menor que el de mantener SPY.</w:t>
            </w:r>
          </w:p>
        </w:tc>
      </w:tr>
      <w:tr>
        <w:trPr>
          <w:cantSplit/>
        </w:trPr>
        <w:tc>
          <w:tcPr>
            <w:tcW w:type="dxa" w:w="290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bCs/>
                <w:color w:val="1F2A37"/>
                <w:sz w:val="20"/>
                <w:szCs w:val="20"/>
              </w:rPr>
              <w:t xml:space="preserve">¿Qué es AlphaTQ y por qué medio Kelly?</w:t>
            </w:r>
          </w:p>
        </w:tc>
        <w:tc>
          <w:tcPr>
            <w:tcW w:type="dxa" w:w="170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val="false"/>
                <w:bCs w:val="false"/>
                <w:color w:val="1F2A37"/>
                <w:sz w:val="20"/>
                <w:szCs w:val="20"/>
              </w:rPr>
              <w:t xml:space="preserve">Diego Diamanti</w:t>
            </w:r>
          </w:p>
        </w:tc>
        <w:tc>
          <w:tcPr>
            <w:tcW w:type="dxa" w:w="4470"/>
            <w:tcBorders>
              <w:top w:val="single" w:color="D5DADF" w:sz="4"/>
              <w:left w:val="none" w:color="FFFFFF" w:sz="0"/>
              <w:bottom w:val="single" w:color="D5DADF" w:sz="4"/>
              <w:right w:val="none" w:color="FFFFFF" w:sz="0"/>
            </w:tcBorders>
            <w:shd w:fill="FFFFFF" w:color="auto" w:val="clear"/>
            <w:tcMar>
              <w:top w:type="dxa" w:w="70"/>
              <w:left w:type="dxa" w:w="110"/>
              <w:bottom w:type="dxa" w:w="70"/>
              <w:right w:type="dxa" w:w="110"/>
            </w:tcMar>
            <w:vAlign w:val="center"/>
          </w:tcPr>
          <w:p>
            <w:pPr>
              <w:jc w:val="left"/>
            </w:pPr>
            <w:r>
              <w:rPr>
                <w:b w:val="false"/>
                <w:bCs w:val="false"/>
                <w:color w:val="1F2A37"/>
                <w:sz w:val="20"/>
                <w:szCs w:val="20"/>
              </w:rPr>
              <w:t xml:space="preserve">Es la plataforma del caso de estudio. Medio Kelly es la regla estándar para convertir una probabilidad en tamaño de posición limitando el riesgo; con p cercano a 0,6 da posiciones chicas.</w:t>
            </w:r>
          </w:p>
        </w:tc>
      </w:tr>
    </w:tbl>
    <w:p>
      <w:pPr>
        <w:pStyle w:val="Heading1"/>
      </w:pPr>
      <w:r>
        <w:t xml:space="preserve">Recomendaciones</w:t>
      </w:r>
    </w:p>
    <w:p>
      <w:pPr>
        <w:pStyle w:val="ListParagraph"/>
        <w:numPr>
          <w:ilvl w:val="0"/>
          <w:numId w:val="2"/>
        </w:numPr>
        <w:spacing w:after="80" w:line="290"/>
      </w:pPr>
      <w:r>
        <w:rPr>
          <w:sz w:val="22"/>
          <w:szCs w:val="22"/>
        </w:rPr>
        <w:t xml:space="preserve">Ensayar al menos una vez con cronómetro. El guion tiene margen de 20 segundos; si se pasan, recortar la diapositiva 9.</w:t>
      </w:r>
    </w:p>
    <w:p>
      <w:pPr>
        <w:pStyle w:val="ListParagraph"/>
        <w:numPr>
          <w:ilvl w:val="0"/>
          <w:numId w:val="2"/>
        </w:numPr>
        <w:spacing w:after="80" w:line="290"/>
      </w:pPr>
      <w:r>
        <w:rPr>
          <w:sz w:val="22"/>
          <w:szCs w:val="22"/>
        </w:rPr>
        <w:t xml:space="preserve">No leer: usar el texto como guía y decirlo con palabras propias. Las cifras sí, exactas.</w:t>
      </w:r>
    </w:p>
    <w:p>
      <w:pPr>
        <w:pStyle w:val="ListParagraph"/>
        <w:numPr>
          <w:ilvl w:val="0"/>
          <w:numId w:val="2"/>
        </w:numPr>
        <w:spacing w:after="80" w:line="290"/>
      </w:pPr>
      <w:r>
        <w:rPr>
          <w:sz w:val="22"/>
          <w:szCs w:val="22"/>
        </w:rPr>
        <w:t xml:space="preserve">Usar siempre los números de la versión corregida (Brier 0,2376 / 0,2508 / 0,2656). No mencionar los del informe anterior.</w:t>
      </w:r>
    </w:p>
    <w:p>
      <w:pPr>
        <w:pStyle w:val="ListParagraph"/>
        <w:numPr>
          <w:ilvl w:val="0"/>
          <w:numId w:val="2"/>
        </w:numPr>
        <w:spacing w:after="80" w:line="290"/>
      </w:pPr>
      <w:r>
        <w:rPr>
          <w:sz w:val="22"/>
          <w:szCs w:val="22"/>
        </w:rPr>
        <w:t xml:space="preserve">Definir quién pasa las diapositivas; lo más simple es que cada uno pase las suyas.</w:t>
      </w:r>
    </w:p>
    <w:p>
      <w:pPr>
        <w:pStyle w:val="ListParagraph"/>
        <w:numPr>
          <w:ilvl w:val="0"/>
          <w:numId w:val="2"/>
        </w:numPr>
        <w:spacing w:after="80" w:line="290"/>
      </w:pPr>
      <w:r>
        <w:rPr>
          <w:sz w:val="22"/>
          <w:szCs w:val="22"/>
        </w:rPr>
        <w:t xml:space="preserve">Frases a evitar: «la red gana», «el modelo predice el mercado», «sin riesgo». Lo que se sostiene es que la GRU calibra mejor que la logística y que nada supera a la línea de base.</w:t>
      </w:r>
    </w:p>
    <w:sectPr>
      <w:footerReference w:type="default" r:id="rId7"/>
      <w:pgSz w:w="11906" w:h="16838" w:orient="portrait"/>
      <w:pgMar w:top="1300" w:right="1418" w:bottom="1300"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mbria" w:cs="Cambria" w:eastAsia="Cambria" w:hAnsi="Cambria"/>
      <w:b/>
      <w:bCs/>
      <w:color w:val="0F5257"/>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la presentación oral</dc:title>
  <dc:creator>Grupo 4</dc:creator>
  <cp:lastModifiedBy>Un-named</cp:lastModifiedBy>
  <cp:revision>1</cp:revision>
  <dcterms:created xsi:type="dcterms:W3CDTF">2026-10-09T14:07:17.067Z</dcterms:created>
  <dcterms:modified xsi:type="dcterms:W3CDTF">2026-10-09T14:07:17.067Z</dcterms:modified>
</cp:coreProperties>
</file>

<file path=docProps/custom.xml><?xml version="1.0" encoding="utf-8"?>
<Properties xmlns="http://schemas.openxmlformats.org/officeDocument/2006/custom-properties" xmlns:vt="http://schemas.openxmlformats.org/officeDocument/2006/docPropsVTypes"/>
</file>