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plevlnrezmya" w:id="0"/>
      <w:bookmarkEnd w:id="0"/>
      <w:r w:rsidDel="00000000" w:rsidR="00000000" w:rsidRPr="00000000">
        <w:rPr>
          <w:rtl w:val="0"/>
        </w:rPr>
        <w:t xml:space="preserve">OKRs, Expansão por Praças, Jornadas e Sistema Comercial Replicável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qrd6yfjy6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consolida, de forma executiva e rastreável, os principais aprendizados extraídos desta conversa estratégica, com foco em </w:t>
      </w:r>
      <w:r w:rsidDel="00000000" w:rsidR="00000000" w:rsidRPr="00000000">
        <w:rPr>
          <w:b w:val="1"/>
          <w:bCs w:val="1"/>
          <w:rtl w:val="0"/>
        </w:rPr>
        <w:t xml:space="preserve">OKRs 2025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expansão geográfica por praças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jornadas de corretores/imobiliárias/incorporadoras</w:t>
      </w:r>
      <w:r w:rsidDel="00000000" w:rsidR="00000000" w:rsidRPr="00000000">
        <w:rPr>
          <w:rtl w:val="0"/>
        </w:rPr>
        <w:t xml:space="preserve"> e a evolução do </w:t>
      </w:r>
      <w:r w:rsidDel="00000000" w:rsidR="00000000" w:rsidRPr="00000000">
        <w:rPr>
          <w:b w:val="1"/>
          <w:bCs w:val="1"/>
          <w:rtl w:val="0"/>
        </w:rPr>
        <w:t xml:space="preserve">stack comercial (incluindo PRM/Z2A)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é “registrar o que foi falado”, mas transformar o conteúdo do chat em </w:t>
      </w:r>
      <w:r w:rsidDel="00000000" w:rsidR="00000000" w:rsidRPr="00000000">
        <w:rPr>
          <w:b w:val="1"/>
          <w:bCs w:val="1"/>
          <w:rtl w:val="0"/>
        </w:rPr>
        <w:t xml:space="preserve">conhecimento institucional reutilizável</w:t>
      </w:r>
      <w:r w:rsidDel="00000000" w:rsidR="00000000" w:rsidRPr="00000000">
        <w:rPr>
          <w:rtl w:val="0"/>
        </w:rPr>
        <w:t xml:space="preserve">: decisões e posicionamentos amadurecidos, hipóteses testadas, trade-offs assumidos, sinais de risco observados e frameworks práticos que permitem replicar o que funcionou e evitar o que gerou deriva.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tese central que emerge é direta: a Órulo tem alavancas claras de tração por praça, mas 2025 expôs que </w:t>
      </w:r>
      <w:r w:rsidDel="00000000" w:rsidR="00000000" w:rsidRPr="00000000">
        <w:rPr>
          <w:b w:val="1"/>
          <w:bCs w:val="1"/>
          <w:rtl w:val="0"/>
        </w:rPr>
        <w:t xml:space="preserve">crescimento sem método vira esforço</w:t>
      </w:r>
      <w:r w:rsidDel="00000000" w:rsidR="00000000" w:rsidRPr="00000000">
        <w:rPr>
          <w:rtl w:val="0"/>
        </w:rPr>
        <w:t xml:space="preserve">. O foco estratégico que este material sustenta é a transição de um modelo dependente de experimentação e pessoas específicas para um modelo </w:t>
      </w:r>
      <w:r w:rsidDel="00000000" w:rsidR="00000000" w:rsidRPr="00000000">
        <w:rPr>
          <w:b w:val="1"/>
          <w:bCs w:val="1"/>
          <w:rtl w:val="0"/>
        </w:rPr>
        <w:t xml:space="preserve">replicável, governado e com cadência</w:t>
      </w:r>
      <w:r w:rsidDel="00000000" w:rsidR="00000000" w:rsidRPr="00000000">
        <w:rPr>
          <w:rtl w:val="0"/>
        </w:rPr>
        <w:t xml:space="preserve">, capaz de sustentar escala com previsibilidade.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1 — Consolidação de Conhecimento e Diagnóstico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Temas estratégicos centrais abordados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Gestão do ciclo comercial e leitura do cliente (CRM + jornada)</w:t>
        <w:br w:type="textWrapping"/>
        <w:t xml:space="preserve">O conjunto de respostas do time converge para um diagnóstico: a operação comercial não tem hoje um “sistema nervoso central” confiável. O CRM não traduz a realidade do funil nem a maturidade do cliente, o que força trabalho paralelo (planilhas, relatórios isolados) e reduz previsibilidade, segmentação e timing de abordagem.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Adoção e valor percebido como motor de escala (ROI)</w:t>
        <w:br w:type="textWrapping"/>
        <w:t xml:space="preserve">Mesmo com portfólio forte (DA, IM, Z2A, Troca Fácil, CRI, integrações, ativações digitais), há inconsistência de adoção e de percepção de ROI. Isso desloca conversas para preço, aumenta risco de churn e obriga “reconvencimento” por conta e por praça.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Expansão territorial e presença local</w:t>
        <w:br w:type="textWrapping"/>
        <w:t xml:space="preserve">O time reafirma que presença local reduz fricção, aumenta confiança e destrava praças relacionais. O modelo Sócio Local e o Programa de Embaixadores aparecem como instrumentos de aceleração, mas com necessidade de padronização e governança.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com o mercado e experiência do cliente</w:t>
        <w:br w:type="textWrapping"/>
        <w:t xml:space="preserve">O desafio de “comunicação ineficaz e jornadas atritadas” segue válido, mas o diagnóstico amadurece: o problema não é só a mensagem para fora; é a capacidade interna de entregar uma experiência que “comunica por si”, reduzindo atrito, educando o mercado e aumentando autonomia do cliente.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organizacional e políticas internas</w:t>
        <w:br w:type="textWrapping"/>
        <w:t xml:space="preserve">Surgem questões estruturais: áreas operando como ilhas, tomada de decisão pouco transparente, priorização reativa, processos comerciais pouco padronizados, e políticas de carreira/variável ainda pouco claras. Esses fatores aparecem como multiplicadores de atrito e perda de velocidade.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Aprendizado institucional a partir de projetos bem-sucedidos e malsucedidos</w:t>
        <w:br w:type="textWrapping"/>
        <w:t xml:space="preserve">Os projetos bem-sucedidos têm padrões: uso de dados e testes rápidos, educação/ativação no timing certo, presença local e prova social. Os malsucedidos repetem causas: oferta antes da consciência de valor, CRM fraco, segmentação insuficiente, falta de piloto e governança territorial.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Insights centrais e padrões recorrentes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“Base antes de escala”: CRM e dados aparecem como pré-requisitos para automação, IA, segmentação e previsibilidade.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“Educação antes da oferta”: descontos e campanhas amplas falham quando o cliente não compreende valor.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“Consistência vence amplitude”: ações focadas, replicáveis e com governança superam iniciativas dispersas.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“Presença local acelera confiança”: em mercados relacionais, o presencial não é opcional.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“Produtos fortes, adoção desigual”: o problema não é falta de produto, mas padronização de adoção, narrativa e experiência.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“Fricção interna vira fricção no cliente”: desalinhamento entre áreas e processos incompletos degradam a jornada externa.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Tensões, contradições e trade-offs identificados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Comunicação externa vs. entrega/experiência: parte do time vê comunicação como principal gargalo; outra parte aponta que o gargalo real é transformar infraestrutura em valor percebido. A síntese indica que comunicação sem experiência consistente vira cosmética.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Democratização do acesso vs. conversão: o acesso gratuito amplia topo de funil, mas reduz urgência e pode atrasar monetização; exige estratégia ativa e agressiva (consultiva) para converter DLs.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Crescimento em novas praças vs. capacidade operacional: expansão requer presença e governança; sem estrutura, vira roleta e aumenta dependência de indivíduos.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Automação/IA vs. fundamentos: IA é vista como alavanca, mas só produz efeito após CRM/dados e processos estarem íntegros.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Centralização vs. autonomia: decisões centralizadas criam controle, mas reduzem velocidade e ownership; autonomia sem padrões cria inconsistência.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Diagnósticos estratégicos consolidados</w:t>
        <w:br w:type="textWrapping"/>
        <w:t xml:space="preserve">Diagnóstico 1: CRM e dados não sustentam a operação comercial</w:t>
        <w:br w:type="textWrapping"/>
        <w:t xml:space="preserve">Isso inviabiliza segmentação, leitura de maturidade, previsibilidade de receita, automação e acompanhamento de OKRs. É causa-raiz transversal.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Diagnóstico 2: Valor/ROI não está claro e recorrente para todos os perfis</w:t>
        <w:br w:type="textWrapping"/>
        <w:t xml:space="preserve">Sem “dinheiro na mesa” evidente, cresce discussão de preço, aumenta churn e a expansão fica artesanal. Falta feedback loop de vendas do corretor e rastreabilidade do impacto.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Diagnóstico 3: Adoção e experiência variam por praça e por cliente</w:t>
        <w:br w:type="textWrapping"/>
        <w:t xml:space="preserve">A jornada é desigual e depende de pessoas específicas. Processos de onboarding/educação e execução (especialmente em integrações, ativações, produtos financeiros) não são padronizados.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Diagnóstico 4: Estrutura interna ainda gera fricção e lentidão</w:t>
        <w:br w:type="textWrapping"/>
        <w:t xml:space="preserve">Comunicação entre áreas, governança de prioridades e políticas de desenvolvimento influenciam diretamente a velocidade e a consistência da entrega ao cliente.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ficou claro e validado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CRM, dados e centralização operacional são prioridade absoluta para 2026.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Adoção consistente e ROI percebido são os motores reais de escala.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local, embaixadores e eventos presenciais funcionam como aceleradores de confiança e vendas.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de educação e narrativas claras são necessários para elevar maturidade do mercado e reduzir carga repetitiva de CS.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OKRs precisam ser simples, conectados a dados confiáveis e acompanhados em cadência curta.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permanece incerto ou em aberto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Nível de investimento e capacidade organizacional para estruturar CRM e dados no ritmo necessário.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econômico e rastreamento do retorno de integrações em novas praças (especialmente quando imobiliária não paga catálogo).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medir ROI de forma robusta sem tracking de vendas do corretor.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praças GTM serão priorizadas com clareza e quais critérios de maturidade serão usados.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organizar incentivos, variável e carreira para reduzir rotatividade e aumentar disciplina operacional.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2 — Aprendizados Estratégicos e Lições Institucionais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Aprendizados declarados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Promoção sem maturidade não converte</w:t>
        <w:br w:type="textWrapping"/>
        <w:t xml:space="preserve">DA Basic e Black Friday falharam porque o cliente não entendia valor; faltou segmentação e jornada prévia de conscientização.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local e prova social destravam mercados fechados</w:t>
        <w:br w:type="textWrapping"/>
        <w:t xml:space="preserve">Abertura de praças (ex.: João Pessoa) e resultados de eventos (ex.: Curitiba) indicam que relacionamento presencial reduz atrito e acelera confiança.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e qualidade do IM são vantagem competitiva</w:t>
        <w:br w:type="textWrapping"/>
        <w:t xml:space="preserve">A melhoria da base e dashboards elevou credibilidade e habilitou conversas estratégicas. IM vira instrumento de decisão e posicionamento.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Automação/IA aumenta performance quando alinhada à dor real</w:t>
        <w:br w:type="textWrapping"/>
        <w:t xml:space="preserve">Z2A e casos de ativação de corretores dormentes mostram que automação gera resultado quando o cliente é capacitado e a proposta é clara.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Incentivos e parceria aceleram adoção</w:t>
        <w:br w:type="textWrapping"/>
        <w:t xml:space="preserve">Programa de Embaixadores e mecanismos de incentivo “tirar o drive” aumentam adesão quando a troca de valor é clara e suportada por materiais e acompanhamento.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Aprendizados implícitos (revelados indiretamente)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principal gargalo não é “falta de esforço”, é falta de sistema (processo + dados + governança) para transformar esforço em resultado.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empresa já possui um portfólio poderoso; o trabalho de 2026 é “operacionalizar valor”, não “inventar mais produtos”.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experiência do cliente é o “canal invisível” de marketing: quando a experiência é fluida, comunica; quando é atritada, destrói percepção.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campo produz inteligência rica, mas falta mecanismo de captura e transferência para a matriz (feedback loop).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políticas claras (carreira, variável, metas), a cultura tende a autopromoção e ilhas, reduzindo colaboração e consistência.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Erros, falhas e limites reconhecidos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não refletindo a operação e abrindo espaço para controles paralelos.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 amplas e genéricas sem segmentação por sinais.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Projetos de integração/PRM com escopo grande demais sem piloto controlado.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 “bons” sem narrativa e onboarding estratégico (Portal da incorporadora).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 excessiva de indivíduos (sócio local, operadores específicos) para garantir execução por praça.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visibilidade e comunicação de OKRs para o comercial no 1º semestre de 2025.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Boas práticas validadas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rápidos e orientados a dados para validar hipóteses (superusuários, novas incorps).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Educação e ativação estruturadas no início da jornada (reduz fricção e acelera conversão).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Incentivos claros e materiais de apoio para mobilizar incorporadoras e corretores.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presenciais como motor de autoridade e geração de receita.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 rigoroso de ingestão e validação de dados para sustentar credibilidade do IM.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Cadência de acompanhamento curta, simples e conectada a dashboards.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Princípios estratégicos que emergiram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Fundamento antes de escala: CRM e dados como alicerce.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 antes de volume: padronizar adoção e jornada por praça.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antes de preço: ancorar conversas em ROI e impacto mensurável.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como comunicação: reduzir atrito e aumentar autonomia do cliente.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como vantagem: fortalecer campo onde o mercado é relacional.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dispersão, mais foco: governança de prioridades para evitar urgências crônicas.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Mudanças de entendimento ao longo da conversa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desafio 2025 “comunicação ineficaz e jornadas atritadas” foi preservado, mas reclassificado: de “mensagem” para “sistema de entrega de valor e experiência”.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passou de “futuro desejável” para “alavanca estratégica inevitável”, condicionada a dados e CRM.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Expansão deixou de ser “abrir praças” e passou a ser “GTM com maturidade e recorrência”, com sócio local e parceiros-âncora.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Evolução de visão (antes vs. depois)</w:t>
        <w:br w:type="textWrapping"/>
        <w:t xml:space="preserve">Antes: foco em comunicação ampla e iniciativas em paralelo.</w:t>
        <w:br w:type="textWrapping"/>
        <w:t xml:space="preserve">Depois: foco em base (CRM/dados), adoção consistente, experiência sem atrito e governança territorial; comunicação e marketing como consequência de uma entrega sólida.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3 — Direcionamentos Futuros e Memória Estratégica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Direções estratégicas sugeridas ou implícitas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Transformar o CRM em sistema central da operação</w:t>
        <w:br w:type="textWrapping"/>
        <w:t xml:space="preserve">Centralizar funil, tarefas, histórico, contatos e receita; eliminar planilhas paralelas; estabelecer governança de dados.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Elevar a adoção consistente como objetivo explícito</w:t>
        <w:br w:type="textWrapping"/>
        <w:t xml:space="preserve">Padronizar onboarding, rituais de ativação e indicadores de uso por praça e por perfil de cliente.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atritos específicos por jornada e público</w:t>
        <w:br w:type="textWrapping"/>
        <w:t xml:space="preserve">Focar em pontos concretos (onboarding, ativação, comunicação, integrações, campanhas) com metas mensuráveis de redução de fricção.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Órulo como hub de distribuição + inteligência</w:t>
        <w:br w:type="textWrapping"/>
        <w:t xml:space="preserve">Evoluir DA, IM, integrações, Z2A, CRI e Troca Fácil como stack coerente, com narrativa única e prova de ROI.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GTM e governança territorial</w:t>
        <w:br w:type="textWrapping"/>
        <w:t xml:space="preserve">Definir praças prioritárias (ex.: RJ, FLN, Litoral RS) com critérios de maturidade; fortalecer sócio local e parcerias institucionais.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presença e eventos</w:t>
        <w:br w:type="textWrapping"/>
        <w:t xml:space="preserve">Repetir e escalar o modelo de eventos que funcionou (Curitiba), com foco em autoridade e geração de demanda.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 sistema educacional (academy)</w:t>
        <w:br w:type="textWrapping"/>
        <w:t xml:space="preserve">Educar incorporadoras e corretores para extrair valor; reduzir carga repetitiva de CS; consolidar narrativas e boas práticas.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Hipóteses relevantes para os próximos ciclos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CRM e dados forem resolvidos, a eficácia de campanhas e a performance de SDR/closer aumenta com menor esforço.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adoção for padronizada, o ROI percebido cresce, reduzindo churn e destravando upsell do stack.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feedback loop de vendas do corretor for capturado, o IM e o discurso comercial ganham evidência econômica forte.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Sócio Local virar programa com governança, a expansão deixa de ser artesanal e passa a ser replicável.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Alertas e riscos estratégicos a monitorar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Risco de continuar operando com dados fragmentados e perder a janela de automação/IA.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ampliar portfólio sem aumentar adoção, gerando complexidade e confusão de valor.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rotatividade elevada por ausência de carreira/variável claros, perdendo disciplina operacional e conhecimento acumulado.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expansão sem governança territorial, aumentando inconsistência e fricção.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integrações com baixo ROI percebido, reduzindo foco e priorização interna.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Recomendações práticas para próximos passos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“SSOT do comercial”: CRM como fonte única e política de “sem planilha paralela”.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um score de maturidade e sinais de jornada por incorporadora, integrado ao funil.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playbook de adoção por praça (checklist, rituais, métricas mínimas, materiais).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SLAs e previsibilidade para Ativação Digital; reativar Stories onde estão parados ou descontinuar com decisão clara.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Redesenhar integrações com foco em redução de prazo e visibilidade de retorno; rodar diagnóstico solicitações vs entregas.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Planejar um calendário mínimo de eventos por praça prioritária.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Academy como linha oficial: trilhas para incorporadoras DL, DA, imobiliárias e corretores.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política de variável e metas; tornar objetivos claros por função.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rituais de transferência de insights do campo para a matriz.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Decisões que já podem ser consideradas consolidadas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CRM/dados é prioridade estrutural e pré-requisito para escala e IA.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Adoção consistente e ROI percebido são os verdadeiros motores de expansão.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Expansão eficaz exige presença local e governança (sócio local/embaixadores).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presenciais têm impacto e devem ser retomados como estratégia, não exceção.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OKRs em 2026 precisam ser poucos, claros, conectados a dashboards e revisados em cadência curta.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Perguntas estratégicas que permanecem abertas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será o modelo robusto de mensuração de ROI (incluindo tracking de vendas do corretor)?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praças serão priorizadas e qual critério objetivo definirá “maturidade” para GTM?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equilibrar democratização do acesso com estratégia comercial agressiva de conversão de DLs?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governança interáreas garantirá que comunicação, produto, CS e comercial operem com narrativa e processo únicos?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 desenho final de incentivos, carreira e variável para sustentar disciplina, retenção e colaboração?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Pílula de inglês</w:t>
        <w:br w:type="textWrapping"/>
        <w:t xml:space="preserve">Knowledge distillation: transforming complex discussion into clear, actionable institutional learning.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