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m97caha01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WS1_ONEPAGE_CHARTER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joi0d0l87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Nome do workstream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WS1 — Comunicação com Corretores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irr228g2w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Função estratégica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o corretor em canal ativo de aquisição, inteligência e pressão local a favor do crescimento da praça.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shjzd1ssd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principal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Fortalecer a relação com corretores e aumentar sua ativação como hub de uso, circulação de informação e geração de oportunidades.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nt444ufd7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que este workstream resolve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 ativação e mobilização da base de corretores;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comunicação estruturada;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de sinais de mercado;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densidade de rede em praças;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pouca pressão local em torno da Órulo.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iskogshtd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 que está dentro do escopo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estratégia de comunicação com corretores;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mensagens, frequência e canais prioritários;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engajamento e ativação;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 sinais e feedbacks do mercado;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rotinas de interação que fortaleçam a rede ativa.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79sc4c0tq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 que está fora do escopo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eventos como ativo principal;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jornada de incorporadora DL → Pago;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 estrutura de pipeline;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territorial amplo;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 social via incorporadora embaixadora;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econômico da praça.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uawviuyow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Entregáveis principais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lógica mínima de comunicação com corretores;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segmentação básica ou priorização de base;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rotina de ativação recorrente;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sinais relevantes;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inicial de comunicação e ativação.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117oq2en2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Métricas de acompanhamento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WAU de corretores por praça;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corretores ativos por praça;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sinais capturados;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participação em interações-chave;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de oportunidades ou impactos derivados da rede.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ih24xk2gt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Cadência mínima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leitura quinzenal de ativação;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mensal por praça;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trimestral da estratégia de comunicação.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11ln5czk5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Dependências principais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corretores confiável;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comercial e territorial;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WS3 quando houver ação territorial;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WS5 quando comunicação precisar de suporte de campanha/evento.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zjffmrfht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Evidência mínima de avanço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aumento observável de corretores ativos;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interações com retorno concreto;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sinais úteis capturados e usados;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movimento real de rede em praça prioritária.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m8pfdbz6f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Riscos clássicos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comunicação sem segmentação;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sem efeito real;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tratar corretor apenas como audiência e não como hub;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confundir engajamento superficial com ativação útil;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depender de ações pontuais em vez de rotina.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q0zquve8a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Próximos 30 dias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lógica mínima de comunicação;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segmentos prioritários;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captura estruturada de sinais;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ativação com praças prioritárias;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o que conta como corretor ativo.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mymdso3lq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ambiguidades a validar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oficial de corretor ativo;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primário de comunicação na V1;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intensidade de operação por praça.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0de6rtp59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de sobreposição com outro WS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WS3</w:t>
      </w:r>
      <w:r w:rsidDel="00000000" w:rsidR="00000000" w:rsidRPr="00000000">
        <w:rPr>
          <w:rtl w:val="0"/>
        </w:rPr>
        <w:t xml:space="preserve">, se presença territorial e ativação local forem tratadas como a mesma coisa;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WS5</w:t>
      </w:r>
      <w:r w:rsidDel="00000000" w:rsidR="00000000" w:rsidRPr="00000000">
        <w:rPr>
          <w:rtl w:val="0"/>
        </w:rPr>
        <w:t xml:space="preserve">, se campanhas/eventos substituírem a rotina de comunicação.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