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7fbn7p719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WS5_ONEPAGE_CHARTER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ng4fj1kqf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Nome do workstream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WS5 — Marketing Event Driven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va06w3ju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Função estratégica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Apoiar geração de autoridade, atenção e descompressão comercial a partir de eventos e momentos-chave do ciclo territorial.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5dfh45fqv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principal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marketing de forma pontual e orientada a evento para reforçar ações prioritárias, sem transformar marketing em eixo amplo e difuso do sistema.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z48c13erf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que este workstream resolve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 alavancagem de eventos e ações-chave;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pouca preparação e sustentação de campanhas ligadas ao comercial;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transformar momentos territoriais em reforço de autoridade e atenção.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ca3gws1b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 que está dentro do escopo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comunicação e reforço de eventos prioritários;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de divulgação e autoridade para ações-chave;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de suporte a GTM territorial;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curtas ligadas a momento comercial específico.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gpakm0j9l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 que está fora do escopo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always-on amplo;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corporativo extenso;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recorrente com corretores como rotina central;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jornada DL → Pago;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territorial como operação.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1mfhsps9w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Entregáveis principais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 de suporte de marketing para eventos prioritários;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peças/mensagens essenciais;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calendário curto de ativações;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de impacto do marketing sobre ações comerciais.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s2gv6istb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Métricas de acompanhamento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alcance ou adesão de campanha ligada a evento;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qualificada influenciada;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ao pipeline pós-evento;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percebido em autoridade e resposta comercial.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b68p3lea9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Cadência mínima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ativação conforme calendário de eventos e ações prioritárias;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mensal do impacto das ações realizadas.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javisqnjf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Dependências principais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WS3 para calendário territorial;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WS1 para eventuais ações ligadas a corretores;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de marketing/execução;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comercial clara.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w7grre5lw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Evidência mínima de avanço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ação de marketing executada em apoio a evento/prioridade real;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aplicado e usado;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efeito observável sobre adesão, presença ou resposta;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ligação concreta com ação comercial ou territorial.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tso5jfrvz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Riscos clássicos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virar escopo genérico de marketing;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confundir visibilidade com resultado;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peça sem conexão com prioridade comercial;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excesso de demanda dispersa;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medição mínima de impacto.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45que5vtk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Próximos 30 dias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mapear eventos e ações prioritárias;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o que é marketing event-driven e o que não é;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padrão mínimo de apoio por evento;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marketing à leitura de impacto.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2fftx4tj4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ambiguidades a validar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 entre suporte pontual e marketing mais amplo;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materiais são realmente prioritários;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medir impacto mínimo.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d6erhvp9j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de sobreposição com outro WS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WS3</w:t>
      </w:r>
      <w:r w:rsidDel="00000000" w:rsidR="00000000" w:rsidRPr="00000000">
        <w:rPr>
          <w:rtl w:val="0"/>
        </w:rPr>
        <w:t xml:space="preserve">, se o evento em si for tratado como marketing e não como execução territorial;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WS1</w:t>
      </w:r>
      <w:r w:rsidDel="00000000" w:rsidR="00000000" w:rsidRPr="00000000">
        <w:rPr>
          <w:rtl w:val="0"/>
        </w:rPr>
        <w:t xml:space="preserve">, se comunicação com corretores virar campanha recorrente.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