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565C0"/>
          <w:sz w:val="36"/>
          <w:szCs w:val="36"/>
        </w:rPr>
        <w:t xml:space="preserve">Documentación Técnica y Análisis de Viabilidad Operativa</w:t>
      </w:r>
    </w:p>
    <w:p>
      <w:pPr>
        <w:spacing w:after="200"/>
        <w:jc w:val="center"/>
      </w:pPr>
      <w:r>
        <w:rPr>
          <w:rFonts w:ascii="Arial" w:cs="Arial" w:eastAsia="Arial" w:hAnsi="Arial"/>
          <w:color w:val="333333"/>
          <w:sz w:val="28"/>
          <w:szCs w:val="28"/>
        </w:rPr>
        <w:t xml:space="preserve">Modelo Predictivo de Riesgo Epidémico de Dengue a Escala Municipal en Colombia</w:t>
      </w:r>
    </w:p>
    <w:p>
      <w:pPr>
        <w:spacing w:after="100"/>
        <w:jc w:val="center"/>
      </w:pPr>
      <w:r>
        <w:rPr>
          <w:rFonts w:ascii="Arial" w:cs="Arial" w:eastAsia="Arial" w:hAnsi="Arial"/>
          <w:color w:val="666666"/>
          <w:sz w:val="24"/>
          <w:szCs w:val="24"/>
        </w:rPr>
        <w:t xml:space="preserve">Pipeline CRISP-DM · 1,060 municipios · 2007-2024</w:t>
      </w:r>
    </w:p>
    <w:p>
      <w:pPr>
        <w:jc w:val="center"/>
      </w:pPr>
      <w:r>
        <w:rPr>
          <w:rFonts w:ascii="Arial" w:cs="Arial" w:eastAsia="Arial" w:hAnsi="Arial"/>
          <w:color w:val="666666"/>
          <w:sz w:val="24"/>
          <w:szCs w:val="24"/>
        </w:rPr>
        <w:t xml:space="preserve">Versión 2 — Mayo 2026</w:t>
      </w:r>
    </w:p>
    <w:p>
      <w:r>
        <w:br w:type="page"/>
      </w:r>
    </w:p>
    <w:p>
      <w:pPr>
        <w:pStyle w:val="Heading1"/>
        <w:spacing w:after="120" w:before="200"/>
      </w:pPr>
      <w:r>
        <w:rPr>
          <w:b/>
          <w:bCs/>
        </w:rPr>
        <w:t xml:space="preserve">Tabla de Contenidos</w:t>
      </w:r>
    </w:p>
    <w:sdt>
      <w:sdtPr>
        <w:alias w:val="TOC"/>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00"/>
      </w:pPr>
      <w:r>
        <w:rPr>
          <w:b/>
          <w:bCs/>
        </w:rPr>
        <w:t xml:space="preserve">1. Resumen Ejecutivo</w:t>
      </w:r>
    </w:p>
    <w:p>
      <w:pPr>
        <w:spacing w:after="120"/>
        <w:jc w:val="both"/>
      </w:pPr>
      <w:r>
        <w:rPr>
          <w:rFonts w:ascii="Arial" w:cs="Arial" w:eastAsia="Arial" w:hAnsi="Arial"/>
          <w:sz w:val="22"/>
          <w:szCs w:val="22"/>
        </w:rPr>
        <w:t xml:space="preserve">Este documento presenta la documentación técnica completa de un sistema de inteligencia artificial diseñado para estimar el nivel de riesgo epidémico de dengue en los 1,060 municipios de Colombia con resolución mensual. El sistema integra datos del SISPRO (casos confirmados), variables climáticas de WorldClim, índices de vegetación satelitales (NDVI) y el fenómeno ENSO.</w:t>
      </w:r>
    </w:p>
    <w:p>
      <w:pPr>
        <w:spacing w:after="120"/>
        <w:jc w:val="both"/>
      </w:pPr>
      <w:r>
        <w:rPr>
          <w:rFonts w:ascii="Arial" w:cs="Arial" w:eastAsia="Arial" w:hAnsi="Arial"/>
          <w:sz w:val="22"/>
          <w:szCs w:val="22"/>
        </w:rPr>
        <w:t xml:space="preserve">El modelo clasifica cada municipio-mes en tres niveles de riesgo basados en el canal endémico de Bortman: éxito (por debajo de lo esperado), en rango (dentro del canal endémico) y epidemia (por encima de lo esperado). El mejor modelo (LightGBM con imputación EWM, hiperparámetros optimizados: lr=0.05, num_leaves=63, reg_lambda=10) alcanza un Macro F1-Score de 0.732 como clasificador del mes actual, con precision de epidemia del 91.4% y sensibilidad del 78.4%.</w:t>
      </w:r>
    </w:p>
    <w:p>
      <w:pPr>
        <w:spacing w:after="120"/>
        <w:jc w:val="both"/>
      </w:pPr>
      <w:r>
        <w:rPr>
          <w:rFonts w:ascii="Arial" w:cs="Arial" w:eastAsia="Arial" w:hAnsi="Arial"/>
          <w:sz w:val="22"/>
          <w:szCs w:val="22"/>
        </w:rPr>
        <w:t xml:space="preserve">La evaluación de horizontes de predicción demostró que la capacidad predictiva genuina se degrada significativamente: -14 puntos de F1 por cada mes de anticipación. La predicción a 1 mes adelante mantiene una precision de epidemia del 80.4% (útil para priorización), pero a 2-3 meses el modelo pierde discriminación entre clases y no es viable para decisiones operativas.</w:t>
      </w:r>
    </w:p>
    <w:p>
      <w:pPr>
        <w:spacing w:after="120"/>
        <w:jc w:val="both"/>
      </w:pPr>
      <w:r>
        <w:rPr>
          <w:rFonts w:ascii="Arial" w:cs="Arial" w:eastAsia="Arial" w:hAnsi="Arial"/>
          <w:sz w:val="22"/>
          <w:szCs w:val="22"/>
        </w:rPr>
        <w:t xml:space="preserve">Un diseño de experimento multifactorial 2x2 confirmó que la compresión PCA de las variables de temperatura está justificada (diferencia menor a 0.001 en F1 entre 8 variables individuales y 1 componente PCA), y que la temperatura aporta solo 3-4% de la importancia total del modelo.</w:t>
      </w:r>
    </w:p>
    <w:p>
      <w:r>
        <w:br w:type="page"/>
      </w:r>
    </w:p>
    <w:p>
      <w:pPr>
        <w:pStyle w:val="Heading1"/>
        <w:spacing w:after="120" w:before="200"/>
      </w:pPr>
      <w:r>
        <w:rPr>
          <w:b/>
          <w:bCs/>
        </w:rPr>
        <w:t xml:space="preserve">2. Pregunta Problema y Objetivos</w:t>
      </w:r>
    </w:p>
    <w:p>
      <w:pPr>
        <w:pStyle w:val="Heading2"/>
        <w:spacing w:after="120" w:before="200"/>
      </w:pPr>
      <w:r>
        <w:rPr>
          <w:b/>
          <w:bCs/>
        </w:rPr>
        <w:t xml:space="preserve">2.1 Pregunta de Investigación</w:t>
      </w:r>
    </w:p>
    <w:p>
      <w:pPr>
        <w:spacing w:after="120"/>
        <w:jc w:val="both"/>
      </w:pPr>
      <w:r>
        <w:rPr>
          <w:rFonts w:ascii="Arial" w:cs="Arial" w:eastAsia="Arial" w:hAnsi="Arial"/>
          <w:sz w:val="22"/>
          <w:szCs w:val="22"/>
        </w:rPr>
        <w:t xml:space="preserve">¿Es posible estimar, con anticipación temporal de 1 a 3 meses, el nivel de riesgo epidémico de dengue a escala municipal en Colombia, utilizando variables climáticas, ambientales y epidemiológicas históricas?</w:t>
      </w:r>
    </w:p>
    <w:p>
      <w:pPr>
        <w:pStyle w:val="Heading2"/>
        <w:spacing w:after="120" w:before="200"/>
      </w:pPr>
      <w:r>
        <w:rPr>
          <w:b/>
          <w:bCs/>
        </w:rPr>
        <w:t xml:space="preserve">2.2 Respuesta (basada en evidencia experimental)</w:t>
      </w:r>
    </w:p>
    <w:p>
      <w:pPr>
        <w:spacing w:after="120"/>
        <w:jc w:val="both"/>
      </w:pPr>
      <w:r>
        <w:rPr>
          <w:rFonts w:ascii="Arial" w:cs="Arial" w:eastAsia="Arial" w:hAnsi="Arial"/>
          <w:sz w:val="22"/>
          <w:szCs w:val="22"/>
        </w:rPr>
        <w:t xml:space="preserve">Parcialmente. El modelo clasifica el riesgo del mes actual con F1=0.73 y precision de epidemia del 91.4%. La predicción a 1 mes adelante es viable con utilidad moderada (precision epidemia 80.4%). La predicción a 2-3 meses no es viable con la arquitectura actual de features por la pérdida de discriminación entre clases.</w:t>
      </w:r>
    </w:p>
    <w:p>
      <w:pPr>
        <w:pStyle w:val="Heading2"/>
        <w:spacing w:after="120" w:before="200"/>
      </w:pPr>
      <w:r>
        <w:rPr>
          <w:b/>
          <w:bCs/>
        </w:rPr>
        <w:t xml:space="preserve">2.3 Distinción: Riesgo de Transmisión vs. Riesgo Epidémico</w:t>
      </w:r>
    </w:p>
    <w:p>
      <w:pPr>
        <w:spacing w:after="120"/>
        <w:jc w:val="both"/>
      </w:pPr>
      <w:r>
        <w:rPr>
          <w:rFonts w:ascii="Arial" w:cs="Arial" w:eastAsia="Arial" w:hAnsi="Arial"/>
          <w:sz w:val="22"/>
          <w:szCs w:val="22"/>
        </w:rPr>
        <w:t xml:space="preserve">El modelo estima el riesgo epidémico (probabilidad de que los casos superen el patrón histórico del municipio), no el riesgo de transmisión (aptitud del territorio para sostener la transmisión del virus). Un municipio con transmisión activa permanente puede estar en "éxito" si sus casos están por debajo de lo esperado.</w:t>
      </w:r>
    </w:p>
    <w:p>
      <w:r>
        <w:br w:type="page"/>
      </w:r>
    </w:p>
    <w:p>
      <w:pPr>
        <w:pStyle w:val="Heading1"/>
        <w:spacing w:after="120" w:before="200"/>
      </w:pPr>
      <w:r>
        <w:rPr>
          <w:b/>
          <w:bCs/>
        </w:rPr>
        <w:t xml:space="preserve">3. Pipeline de Procesamiento</w:t>
      </w:r>
    </w:p>
    <w:p>
      <w:pPr>
        <w:spacing w:after="120" w:before="120"/>
        <w:jc w:val="center"/>
      </w:pPr>
      <w:r>
        <w:drawing>
          <wp:inline distT="0" distB="0" distL="0" distR="0">
            <wp:extent cx="6096000" cy="1809750"/>
            <wp:effectExtent t="0" r="0" b="0" l="0"/>
            <wp:docPr id="1" name="img/pipeline.png" descr="img/pipeline.png" title="img/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809750"/>
                    </a:xfrm>
                    <a:prstGeom prst="rect">
                      <a:avLst/>
                    </a:prstGeom>
                  </pic:spPr>
                </pic:pic>
              </a:graphicData>
            </a:graphic>
          </wp:inline>
        </w:drawing>
      </w:r>
    </w:p>
    <w:p>
      <w:pPr>
        <w:spacing w:after="120"/>
        <w:jc w:val="both"/>
      </w:pPr>
      <w:r>
        <w:rPr>
          <w:rFonts w:ascii="Arial" w:cs="Arial" w:eastAsia="Arial" w:hAnsi="Arial"/>
          <w:sz w:val="22"/>
          <w:szCs w:val="22"/>
        </w:rPr>
        <w:t xml:space="preserve">S1 integra fuentes heterogéneas (SISPRO, WorldClim, NDVI, ENSO) en 202,176 registros. S2 construye el canal endémico de Bortman, asigna niveles de riesgo y genera lags. S3.5 aplica compresión PCA y diagnóstico estadístico. S4 entrena clasificadores con búsqueda de hiperparámetros y validación temporal.</w:t>
      </w:r>
    </w:p>
    <w:p>
      <w:r>
        <w:br w:type="page"/>
      </w:r>
    </w:p>
    <w:p>
      <w:pPr>
        <w:pStyle w:val="Heading1"/>
        <w:spacing w:after="120" w:before="200"/>
      </w:pPr>
      <w:r>
        <w:rPr>
          <w:b/>
          <w:bCs/>
        </w:rPr>
        <w:t xml:space="preserve">4. Metodología del Canal Endémico Bortman</w:t>
      </w:r>
    </w:p>
    <w:p>
      <w:pPr>
        <w:pStyle w:val="Heading2"/>
        <w:spacing w:after="120" w:before="200"/>
      </w:pPr>
      <w:r>
        <w:rPr>
          <w:b/>
          <w:bCs/>
        </w:rPr>
        <w:t xml:space="preserve">4.1 Cálculo Matemático</w:t>
      </w:r>
    </w:p>
    <w:p>
      <w:pPr>
        <w:spacing w:after="120"/>
        <w:jc w:val="both"/>
      </w:pPr>
      <w:r>
        <w:rPr>
          <w:rFonts w:ascii="Arial" w:cs="Arial" w:eastAsia="Arial" w:hAnsi="Arial"/>
          <w:sz w:val="22"/>
          <w:szCs w:val="22"/>
        </w:rPr>
        <w:t xml:space="preserve">Para cada combinación municipio-mes, el canal se calcula usando exclusivamente datos de años anteriores (nunca el año actual), con una ventana móvil de 7 años y exclusión de outliers IQR:</w:t>
      </w:r>
    </w:p>
    <w:p>
      <w:pPr>
        <w:spacing w:after="120" w:before="120"/>
        <w:jc w:val="center"/>
      </w:pPr>
      <w:r>
        <w:drawing>
          <wp:inline distT="0" distB="0" distL="0" distR="0">
            <wp:extent cx="4953000" cy="2286000"/>
            <wp:effectExtent t="0" r="0" b="0" l="0"/>
            <wp:docPr id="1" name="img/bortman_formulas.png" descr="img/bortman_formulas.png" title="img/bortman_formul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286000"/>
                    </a:xfrm>
                    <a:prstGeom prst="rect">
                      <a:avLst/>
                    </a:prstGeom>
                  </pic:spPr>
                </pic:pic>
              </a:graphicData>
            </a:graphic>
          </wp:inline>
        </w:drawing>
      </w:r>
    </w:p>
    <w:p>
      <w:pPr>
        <w:pStyle w:val="Heading2"/>
        <w:spacing w:after="120" w:before="200"/>
      </w:pPr>
      <w:r>
        <w:rPr>
          <w:b/>
          <w:bCs/>
        </w:rPr>
        <w:t xml:space="preserve">4.2 Representación Gráfica</w:t>
      </w:r>
    </w:p>
    <w:p>
      <w:pPr>
        <w:spacing w:after="120" w:before="120"/>
        <w:jc w:val="center"/>
      </w:pPr>
      <w:r>
        <w:drawing>
          <wp:inline distT="0" distB="0" distL="0" distR="0">
            <wp:extent cx="5334000" cy="2952750"/>
            <wp:effectExtent t="0" r="0" b="0" l="0"/>
            <wp:docPr id="1" name="img/canal_endemico.png" descr="img/canal_endemico.png" title="img/canal_endem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52750"/>
                    </a:xfrm>
                    <a:prstGeom prst="rect">
                      <a:avLst/>
                    </a:prstGeom>
                  </pic:spPr>
                </pic:pic>
              </a:graphicData>
            </a:graphic>
          </wp:inline>
        </w:drawing>
      </w:r>
    </w:p>
    <w:p>
      <w:pPr>
        <w:pStyle w:val="Heading2"/>
        <w:spacing w:after="120" w:before="200"/>
      </w:pPr>
      <w:r>
        <w:rPr>
          <w:b/>
          <w:bCs/>
        </w:rPr>
        <w:t xml:space="preserve">4.3 Clasificación en 3 Niveles</w:t>
      </w:r>
    </w:p>
    <w:p>
      <w:pPr>
        <w:pStyle w:val="ListParagraph"/>
        <w:numPr>
          <w:ilvl w:val="0"/>
          <w:numId w:val="2"/>
        </w:numPr>
        <w:spacing w:after="60"/>
      </w:pPr>
      <w:r>
        <w:rPr>
          <w:rFonts w:ascii="Arial" w:cs="Arial" w:eastAsia="Arial" w:hAnsi="Arial"/>
          <w:b/>
          <w:bCs/>
          <w:sz w:val="22"/>
          <w:szCs w:val="22"/>
        </w:rPr>
        <w:t xml:space="preserve">Éxito (0): </w:t>
      </w:r>
      <w:r>
        <w:rPr>
          <w:rFonts w:ascii="Arial" w:cs="Arial" w:eastAsia="Arial" w:hAnsi="Arial"/>
          <w:sz w:val="22"/>
          <w:szCs w:val="22"/>
        </w:rPr>
        <w:t xml:space="preserve">Casos menor al LI. El municipio reporta menos casos de lo esperado.</w:t>
      </w:r>
    </w:p>
    <w:p>
      <w:pPr>
        <w:pStyle w:val="ListParagraph"/>
        <w:numPr>
          <w:ilvl w:val="0"/>
          <w:numId w:val="2"/>
        </w:numPr>
        <w:spacing w:after="60"/>
      </w:pPr>
      <w:r>
        <w:rPr>
          <w:rFonts w:ascii="Arial" w:cs="Arial" w:eastAsia="Arial" w:hAnsi="Arial"/>
          <w:b/>
          <w:bCs/>
          <w:sz w:val="22"/>
          <w:szCs w:val="22"/>
        </w:rPr>
        <w:t xml:space="preserve">En rango (1): </w:t>
      </w:r>
      <w:r>
        <w:rPr>
          <w:rFonts w:ascii="Arial" w:cs="Arial" w:eastAsia="Arial" w:hAnsi="Arial"/>
          <w:sz w:val="22"/>
          <w:szCs w:val="22"/>
        </w:rPr>
        <w:t xml:space="preserve">LI menor o igual a casos menor a LS. Dentro del comportamiento esperado.</w:t>
      </w:r>
    </w:p>
    <w:p>
      <w:pPr>
        <w:pStyle w:val="ListParagraph"/>
        <w:numPr>
          <w:ilvl w:val="0"/>
          <w:numId w:val="2"/>
        </w:numPr>
        <w:spacing w:after="60"/>
      </w:pPr>
      <w:r>
        <w:rPr>
          <w:rFonts w:ascii="Arial" w:cs="Arial" w:eastAsia="Arial" w:hAnsi="Arial"/>
          <w:b/>
          <w:bCs/>
          <w:sz w:val="22"/>
          <w:szCs w:val="22"/>
        </w:rPr>
        <w:t xml:space="preserve">Epidemia (2): </w:t>
      </w:r>
      <w:r>
        <w:rPr>
          <w:rFonts w:ascii="Arial" w:cs="Arial" w:eastAsia="Arial" w:hAnsi="Arial"/>
          <w:sz w:val="22"/>
          <w:szCs w:val="22"/>
        </w:rPr>
        <w:t xml:space="preserve">Casos mayor o igual a LS. Supera significativamente su patrón histórico.</w:t>
      </w:r>
    </w:p>
    <w:p>
      <w:pPr>
        <w:pStyle w:val="Heading2"/>
        <w:spacing w:after="120" w:before="200"/>
      </w:pPr>
      <w:r>
        <w:rPr>
          <w:b/>
          <w:bCs/>
        </w:rPr>
        <w:t xml:space="preserve">4.4 Regla de Consistencia: 0 Casos</w:t>
      </w:r>
    </w:p>
    <w:p>
      <w:pPr>
        <w:spacing w:after="120"/>
        <w:jc w:val="both"/>
      </w:pPr>
      <w:r>
        <w:rPr>
          <w:rFonts w:ascii="Arial" w:cs="Arial" w:eastAsia="Arial" w:hAnsi="Arial"/>
          <w:sz w:val="22"/>
          <w:szCs w:val="22"/>
        </w:rPr>
        <w:t xml:space="preserve">Se implementó una regla explícita: si casosconfirmados = 0, el nivel de riesgo siempre es éxito (0), independientemente de los umbrales Bortman. Esta regla corrige un caso límite donde municipios con historial de 0 casos (LI=MG=LS=0) se clasificaban erróneamente como epidemia porque la condición 'casos &gt;= LS' se cumple cuando ambos son 0. Epidemiológicamente, 0 casos nunca puede constituir un brote.</w:t>
      </w:r>
    </w:p>
    <w:p>
      <w:pPr>
        <w:pStyle w:val="Heading2"/>
        <w:spacing w:after="120" w:before="200"/>
      </w:pPr>
      <w:r>
        <w:rPr>
          <w:b/>
          <w:bCs/>
        </w:rPr>
        <w:t xml:space="preserve">4.5 Prevención de Data Leakage</w:t>
      </w:r>
    </w:p>
    <w:p>
      <w:pPr>
        <w:pStyle w:val="ListParagraph"/>
        <w:numPr>
          <w:ilvl w:val="0"/>
          <w:numId w:val="2"/>
        </w:numPr>
        <w:spacing w:after="60"/>
      </w:pPr>
      <w:r>
        <w:rPr>
          <w:rFonts w:ascii="Arial" w:cs="Arial" w:eastAsia="Arial" w:hAnsi="Arial"/>
          <w:b/>
          <w:bCs/>
          <w:sz w:val="22"/>
          <w:szCs w:val="22"/>
        </w:rPr>
        <w:t xml:space="preserve">Exclusividad temporal: </w:t>
      </w:r>
      <w:r>
        <w:rPr>
          <w:rFonts w:ascii="Arial" w:cs="Arial" w:eastAsia="Arial" w:hAnsi="Arial"/>
          <w:sz w:val="22"/>
          <w:szCs w:val="22"/>
        </w:rPr>
        <w:t xml:space="preserve">Solo datos de años estrictamente anteriores al año clasificado.</w:t>
      </w:r>
    </w:p>
    <w:p>
      <w:pPr>
        <w:pStyle w:val="ListParagraph"/>
        <w:numPr>
          <w:ilvl w:val="0"/>
          <w:numId w:val="2"/>
        </w:numPr>
        <w:spacing w:after="60"/>
      </w:pPr>
      <w:r>
        <w:rPr>
          <w:rFonts w:ascii="Arial" w:cs="Arial" w:eastAsia="Arial" w:hAnsi="Arial"/>
          <w:b/>
          <w:bCs/>
          <w:sz w:val="22"/>
          <w:szCs w:val="22"/>
        </w:rPr>
        <w:t xml:space="preserve">Ventana móvil 7 años: </w:t>
      </w:r>
      <w:r>
        <w:rPr>
          <w:rFonts w:ascii="Arial" w:cs="Arial" w:eastAsia="Arial" w:hAnsi="Arial"/>
          <w:sz w:val="22"/>
          <w:szCs w:val="22"/>
        </w:rPr>
        <w:t xml:space="preserve">Evita que patrones antiguos distorsionen los umbrales.</w:t>
      </w:r>
    </w:p>
    <w:p>
      <w:pPr>
        <w:pStyle w:val="ListParagraph"/>
        <w:numPr>
          <w:ilvl w:val="0"/>
          <w:numId w:val="2"/>
        </w:numPr>
        <w:spacing w:after="60"/>
      </w:pPr>
      <w:r>
        <w:rPr>
          <w:rFonts w:ascii="Arial" w:cs="Arial" w:eastAsia="Arial" w:hAnsi="Arial"/>
          <w:b/>
          <w:bCs/>
          <w:sz w:val="22"/>
          <w:szCs w:val="22"/>
        </w:rPr>
        <w:t xml:space="preserve">Exclusión outliers IQR: </w:t>
      </w:r>
      <w:r>
        <w:rPr>
          <w:rFonts w:ascii="Arial" w:cs="Arial" w:eastAsia="Arial" w:hAnsi="Arial"/>
          <w:sz w:val="22"/>
          <w:szCs w:val="22"/>
        </w:rPr>
        <w:t xml:space="preserve">Años epidémicos atípicos no inflan los umbrales.</w:t>
      </w:r>
    </w:p>
    <w:p>
      <w:pPr>
        <w:pStyle w:val="ListParagraph"/>
        <w:numPr>
          <w:ilvl w:val="0"/>
          <w:numId w:val="2"/>
        </w:numPr>
        <w:spacing w:after="60"/>
      </w:pPr>
      <w:r>
        <w:rPr>
          <w:rFonts w:ascii="Arial" w:cs="Arial" w:eastAsia="Arial" w:hAnsi="Arial"/>
          <w:b/>
          <w:bCs/>
          <w:sz w:val="22"/>
          <w:szCs w:val="22"/>
        </w:rPr>
        <w:t xml:space="preserve">Mínimo 3 años: </w:t>
      </w:r>
      <w:r>
        <w:rPr>
          <w:rFonts w:ascii="Arial" w:cs="Arial" w:eastAsia="Arial" w:hAnsi="Arial"/>
          <w:sz w:val="22"/>
          <w:szCs w:val="22"/>
        </w:rPr>
        <w:t xml:space="preserve">Registros sin historia suficiente se excluyen del modelado.</w:t>
      </w:r>
    </w:p>
    <w:p>
      <w:pPr>
        <w:pStyle w:val="Heading2"/>
        <w:spacing w:after="120" w:before="200"/>
      </w:pPr>
      <w:r>
        <w:rPr>
          <w:b/>
          <w:bCs/>
        </w:rPr>
        <w:t xml:space="preserve">4.6 nivel_endemico como Feature</w:t>
      </w:r>
    </w:p>
    <w:p>
      <w:pPr>
        <w:spacing w:after="120"/>
        <w:jc w:val="both"/>
      </w:pPr>
      <w:r>
        <w:rPr>
          <w:rFonts w:ascii="Arial" w:cs="Arial" w:eastAsia="Arial" w:hAnsi="Arial"/>
          <w:sz w:val="22"/>
          <w:szCs w:val="22"/>
        </w:rPr>
        <w:t xml:space="preserve">La media geométrica (MG) se preserva como feature del modelo bajo el nombre nivel_endemico. Proporciona la escala de referencia del municipio: un municipio con nivel_endemico=200 necesita muchos más casos para estar en epidemia que uno con nivel_endemico=3. Esta variable aporta el 30% de la importancia del modelo y su inclusión aumentó el Macro F1 de 0.468 a 0.668 (+20 puntos).</w:t>
      </w:r>
    </w:p>
    <w:p>
      <w:r>
        <w:br w:type="page"/>
      </w:r>
    </w:p>
    <w:p>
      <w:pPr>
        <w:pStyle w:val="Heading1"/>
        <w:spacing w:after="120" w:before="200"/>
      </w:pPr>
      <w:r>
        <w:rPr>
          <w:b/>
          <w:bCs/>
        </w:rPr>
        <w:t xml:space="preserve">5. Fuentes de Datos e Imputación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Variable</w:t>
            </w:r>
          </w:p>
        </w:tc>
        <w:tc>
          <w:tcPr>
            <w:tcW w:type="dxa" w:w="16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Fuente</w:t>
            </w:r>
          </w:p>
        </w:tc>
        <w:tc>
          <w:tcPr>
            <w:tcW w:type="dxa" w:w="576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Descripción</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casosconfirmados</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SISPRO</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Casos de dengue confirmados por laboratorio</w:t>
            </w:r>
          </w:p>
        </w:tc>
      </w:tr>
      <w:tr>
        <w:tc>
          <w:tcPr>
            <w:tcW w:type="dxa" w:w="2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tempmax/tempmin</w:t>
            </w:r>
          </w:p>
        </w:tc>
        <w:tc>
          <w:tcPr>
            <w:tcW w:type="dxa" w:w="16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WorldClim ~1km²</w:t>
            </w:r>
          </w:p>
        </w:tc>
        <w:tc>
          <w:tcPr>
            <w:tcW w:type="dxa" w:w="57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Temperatura máxima y mínima mensual</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precipitacion</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WorldClim</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Precipitación acumulada mensual</w:t>
            </w:r>
          </w:p>
        </w:tc>
      </w:tr>
      <w:tr>
        <w:tc>
          <w:tcPr>
            <w:tcW w:type="dxa" w:w="2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dew_point</w:t>
            </w:r>
          </w:p>
        </w:tc>
        <w:tc>
          <w:tcPr>
            <w:tcW w:type="dxa" w:w="16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WorldClim</w:t>
            </w:r>
          </w:p>
        </w:tc>
        <w:tc>
          <w:tcPr>
            <w:tcW w:type="dxa" w:w="57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Punto de rocío mensual</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ndvi</w:t>
            </w:r>
          </w:p>
        </w:tc>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Satelital ~250m</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Índice de vegetación</w:t>
            </w:r>
          </w:p>
        </w:tc>
      </w:tr>
      <w:tr>
        <w:tc>
          <w:tcPr>
            <w:tcW w:type="dxa" w:w="2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fenomeno</w:t>
            </w:r>
          </w:p>
        </w:tc>
        <w:tc>
          <w:tcPr>
            <w:tcW w:type="dxa" w:w="16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NOAA</w:t>
            </w:r>
          </w:p>
        </w:tc>
        <w:tc>
          <w:tcPr>
            <w:tcW w:type="dxa" w:w="57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Estado ENSO: Niño/Niña moderado/severo</w:t>
            </w:r>
          </w:p>
        </w:tc>
      </w:tr>
    </w:tbl>
    <w:p>
      <w:pPr>
        <w:spacing w:after="120"/>
        <w:jc w:val="both"/>
      </w:pPr>
      <w:r>
        <w:rPr>
          <w:rFonts w:ascii="Arial" w:cs="Arial" w:eastAsia="Arial" w:hAnsi="Arial"/>
          <w:sz w:val="22"/>
          <w:szCs w:val="22"/>
        </w:rPr>
        <w:t xml:space="preserve">Se evaluaron 5 métodos de imputación: M1 (media histórica), M2 (mediana), M3 (interpolación lineal), M4 (EWM, alfa=0.3) y M5 (eliminación). M4 produjo los mejores resultados en todos los modelos (F1=0.729 vs 0.679-0.714).</w:t>
      </w:r>
    </w:p>
    <w:p>
      <w:r>
        <w:br w:type="page"/>
      </w:r>
    </w:p>
    <w:p>
      <w:pPr>
        <w:pStyle w:val="Heading1"/>
        <w:spacing w:after="120" w:before="200"/>
      </w:pPr>
      <w:r>
        <w:rPr>
          <w:b/>
          <w:bCs/>
        </w:rPr>
        <w:t xml:space="preserve">6. Ingeniería de Variables</w:t>
      </w:r>
    </w:p>
    <w:p>
      <w:pPr>
        <w:pStyle w:val="Heading2"/>
        <w:spacing w:after="120" w:before="200"/>
      </w:pPr>
      <w:r>
        <w:rPr>
          <w:b/>
          <w:bCs/>
        </w:rPr>
        <w:t xml:space="preserve">6.1 Compresión PCA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1200"/>
        <w:gridCol w:w="3360"/>
      </w:tblGrid>
      <w:tr>
        <w:tc>
          <w:tcPr>
            <w:tcW w:type="dxa" w:w="16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Grupo PCA</w:t>
            </w:r>
          </w:p>
        </w:tc>
        <w:tc>
          <w:tcPr>
            <w:tcW w:type="dxa" w:w="32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Variables originales</w:t>
            </w:r>
          </w:p>
        </w:tc>
        <w:tc>
          <w:tcPr>
            <w:tcW w:type="dxa" w:w="12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Componentes</w:t>
            </w:r>
          </w:p>
        </w:tc>
        <w:tc>
          <w:tcPr>
            <w:tcW w:type="dxa" w:w="336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Justificación</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pca_dew_point</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dew_point + 3 lags (4 vars)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Correlación mayor a 0.85 entre lags</w:t>
            </w:r>
          </w:p>
        </w:tc>
      </w:tr>
      <w:tr>
        <w:tc>
          <w:tcPr>
            <w:tcW w:type="dxa" w:w="16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pca_casos_lags</w:t>
            </w:r>
          </w:p>
        </w:tc>
        <w:tc>
          <w:tcPr>
            <w:tcW w:type="dxa" w:w="3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casos_lag1/2/3 (3 vars)</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w:t>
            </w:r>
          </w:p>
        </w:tc>
        <w:tc>
          <w:tcPr>
            <w:tcW w:type="dxa" w:w="33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Comprime magnitud histórica</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pca_riesgo_lags</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riesgo_lag1/2/3 (3 vars)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Comprime tendencia del riesgo</w:t>
            </w:r>
          </w:p>
        </w:tc>
      </w:tr>
      <w:tr>
        <w:tc>
          <w:tcPr>
            <w:tcW w:type="dxa" w:w="16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pca_temp_avg</w:t>
            </w:r>
          </w:p>
        </w:tc>
        <w:tc>
          <w:tcPr>
            <w:tcW w:type="dxa" w:w="3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temp_avg + 3 lags (4 vars)</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w:t>
            </w:r>
          </w:p>
        </w:tc>
        <w:tc>
          <w:tcPr>
            <w:tcW w:type="dxa" w:w="33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Colinealidad térmica temporal</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pca_enso</w:t>
            </w:r>
          </w:p>
        </w:tc>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16 dummies ENSO (4x4)</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Correlaciones 0.80-0.84 entre lags</w:t>
            </w:r>
          </w:p>
        </w:tc>
      </w:tr>
    </w:tbl>
    <w:p>
      <w:pPr>
        <w:spacing w:after="120"/>
        <w:jc w:val="both"/>
      </w:pPr>
      <w:r>
        <w:rPr>
          <w:rFonts w:ascii="Arial" w:cs="Arial" w:eastAsia="Arial" w:hAnsi="Arial"/>
          <w:sz w:val="22"/>
          <w:szCs w:val="22"/>
        </w:rPr>
        <w:t xml:space="preserve">La compresión redujo el dataset de 35 a 22 columnas. El DOE confirmó que esta compresión no pierde información predictiva (diferencia menor a 0.001 en F1 entre PCA y variables individuales).</w:t>
      </w:r>
    </w:p>
    <w:p>
      <w:pPr>
        <w:pStyle w:val="Heading2"/>
        <w:spacing w:after="120" w:before="200"/>
      </w:pPr>
      <w:r>
        <w:rPr>
          <w:b/>
          <w:bCs/>
        </w:rPr>
        <w:t xml:space="preserve">6.2 Importancia de Variables</w:t>
      </w:r>
    </w:p>
    <w:p>
      <w:pPr>
        <w:spacing w:after="120" w:before="120"/>
        <w:jc w:val="center"/>
      </w:pPr>
      <w:r>
        <w:drawing>
          <wp:inline distT="0" distB="0" distL="0" distR="0">
            <wp:extent cx="4953000" cy="2762250"/>
            <wp:effectExtent t="0" r="0" b="0" l="0"/>
            <wp:docPr id="1" name="img/feature_importance.png" descr="img/feature_importance.png" title="img/feature_impor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62250"/>
                    </a:xfrm>
                    <a:prstGeom prst="rect">
                      <a:avLst/>
                    </a:prstGeom>
                  </pic:spPr>
                </pic:pic>
              </a:graphicData>
            </a:graphic>
          </wp:inline>
        </w:drawing>
      </w:r>
    </w:p>
    <w:p>
      <w:r>
        <w:br w:type="page"/>
      </w:r>
    </w:p>
    <w:p>
      <w:pPr>
        <w:pStyle w:val="Heading1"/>
        <w:spacing w:after="120" w:before="200"/>
      </w:pPr>
      <w:r>
        <w:rPr>
          <w:b/>
          <w:bCs/>
        </w:rPr>
        <w:t xml:space="preserve">7. Modelos Evaluados e Hiperparámetros</w:t>
      </w:r>
    </w:p>
    <w:p>
      <w:pPr>
        <w:spacing w:after="120"/>
        <w:jc w:val="both"/>
      </w:pPr>
      <w:r>
        <w:rPr>
          <w:rFonts w:ascii="Arial" w:cs="Arial" w:eastAsia="Arial" w:hAnsi="Arial"/>
          <w:sz w:val="22"/>
          <w:szCs w:val="22"/>
        </w:rPr>
        <w:t xml:space="preserve">Se evaluaron 5 clasificadores con RandomizedSearchCV (10 iteraciones) y TimeSeriesSplit (5 folds). La validación externa se realizó sobre el año 2024 completo.</w:t>
      </w:r>
    </w:p>
    <w:p>
      <w:pPr>
        <w:pStyle w:val="Heading2"/>
        <w:spacing w:after="120" w:before="200"/>
      </w:pPr>
      <w:r>
        <w:rPr>
          <w:b/>
          <w:bCs/>
        </w:rPr>
        <w:t xml:space="preserve">7.1 Hiperparámetros Óptimos Encontrados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1400"/>
        <w:gridCol w:w="4760"/>
      </w:tblGrid>
      <w:tr>
        <w:tc>
          <w:tcPr>
            <w:tcW w:type="dxa" w:w="18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Hiperparámetro</w:t>
            </w:r>
          </w:p>
        </w:tc>
        <w:tc>
          <w:tcPr>
            <w:tcW w:type="dxa" w:w="14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LGBM (óptimo)</w:t>
            </w:r>
          </w:p>
        </w:tc>
        <w:tc>
          <w:tcPr>
            <w:tcW w:type="dxa" w:w="14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RF (óptimo)</w:t>
            </w:r>
          </w:p>
        </w:tc>
        <w:tc>
          <w:tcPr>
            <w:tcW w:type="dxa" w:w="476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Justificación</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n_estimators</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100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800</w:t>
            </w:r>
          </w:p>
        </w:tc>
        <w:tc>
          <w:tcPr>
            <w:tcW w:type="dxa" w:w="47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LGBM: lr bajo compensa. RF: más árboles estabilizan</w:t>
            </w:r>
          </w:p>
        </w:tc>
      </w:tr>
      <w:tr>
        <w:tc>
          <w:tcPr>
            <w:tcW w:type="dxa" w:w="18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learning_rate</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0.05</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w:t>
            </w:r>
          </w:p>
        </w:tc>
        <w:tc>
          <w:tcPr>
            <w:tcW w:type="dxa" w:w="47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Más bajo que default (0.1). Generaliza mejor en datos epidemiológicos</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num_leaves</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63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w:t>
            </w:r>
          </w:p>
        </w:tc>
        <w:tc>
          <w:tcPr>
            <w:tcW w:type="dxa" w:w="47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Intermedio: captura interacciones sin overfitting</w:t>
            </w:r>
          </w:p>
        </w:tc>
      </w:tr>
      <w:tr>
        <w:tc>
          <w:tcPr>
            <w:tcW w:type="dxa" w:w="18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max_depth</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15</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None</w:t>
            </w:r>
          </w:p>
        </w:tc>
        <w:tc>
          <w:tcPr>
            <w:tcW w:type="dxa" w:w="47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LGBM: limita complejidad. RF: regulado por min_samples</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reg_lambda</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w:t>
            </w:r>
          </w:p>
        </w:tc>
        <w:tc>
          <w:tcPr>
            <w:tcW w:type="dxa" w:w="47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Regularización activa. Penaliza patrones espurios del subregistro</w:t>
            </w:r>
          </w:p>
        </w:tc>
      </w:tr>
      <w:tr>
        <w:tc>
          <w:tcPr>
            <w:tcW w:type="dxa" w:w="18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subsample</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0.8</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w:t>
            </w:r>
          </w:p>
        </w:tc>
        <w:tc>
          <w:tcPr>
            <w:tcW w:type="dxa" w:w="47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80% de datos por iteración. Añade variabilidad</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max_features</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0.5</w:t>
            </w:r>
          </w:p>
        </w:tc>
        <w:tc>
          <w:tcPr>
            <w:tcW w:type="dxa" w:w="47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Mitad de features por split. Diversifica el bosque</w:t>
            </w:r>
          </w:p>
        </w:tc>
      </w:tr>
      <w:tr>
        <w:tc>
          <w:tcPr>
            <w:tcW w:type="dxa" w:w="18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min_samples_leaf</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10</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w:t>
            </w:r>
          </w:p>
        </w:tc>
        <w:tc>
          <w:tcPr>
            <w:tcW w:type="dxa" w:w="47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Previene hojas con pocos registros (municipios pequeños)</w:t>
            </w:r>
          </w:p>
        </w:tc>
      </w:tr>
      <w:tr>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class_weight</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None</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None</w:t>
            </w:r>
          </w:p>
        </w:tc>
        <w:tc>
          <w:tcPr>
            <w:tcW w:type="dxa" w:w="47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Desbalanceo 15/39/46% no es severo</w:t>
            </w:r>
          </w:p>
        </w:tc>
      </w:tr>
    </w:tbl>
    <w:p>
      <w:r>
        <w:br w:type="page"/>
      </w:r>
    </w:p>
    <w:p>
      <w:pPr>
        <w:pStyle w:val="Heading1"/>
        <w:spacing w:after="120" w:before="200"/>
      </w:pPr>
      <w:r>
        <w:rPr>
          <w:b/>
          <w:bCs/>
        </w:rPr>
        <w:t xml:space="preserve">8. Resultados del Pipeline (Nowcast)</w:t>
      </w:r>
    </w:p>
    <w:p>
      <w:pPr>
        <w:pStyle w:val="Heading2"/>
        <w:spacing w:after="120" w:before="200"/>
      </w:pPr>
      <w:r>
        <w:rPr>
          <w:b/>
          <w:bCs/>
        </w:rPr>
        <w:t xml:space="preserve">8.1 Comparativa por Modelo (M4, hold-out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000"/>
        <w:gridCol w:w="1000"/>
        <w:gridCol w:w="1200"/>
        <w:gridCol w:w="800"/>
        <w:gridCol w:w="1400"/>
        <w:gridCol w:w="1400"/>
      </w:tblGrid>
      <w:tr>
        <w:tc>
          <w:tcPr>
            <w:tcW w:type="dxa" w:w="16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Modelo</w:t>
            </w:r>
          </w:p>
        </w:tc>
        <w:tc>
          <w:tcPr>
            <w:tcW w:type="dxa" w:w="10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F1 CV</w:t>
            </w:r>
          </w:p>
        </w:tc>
        <w:tc>
          <w:tcPr>
            <w:tcW w:type="dxa" w:w="10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F1 Val</w:t>
            </w:r>
          </w:p>
        </w:tc>
        <w:tc>
          <w:tcPr>
            <w:tcW w:type="dxa" w:w="12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Exactitud</w:t>
            </w:r>
          </w:p>
        </w:tc>
        <w:tc>
          <w:tcPr>
            <w:tcW w:type="dxa" w:w="8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MAE</w:t>
            </w:r>
          </w:p>
        </w:tc>
        <w:tc>
          <w:tcPr>
            <w:tcW w:type="dxa" w:w="14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P.Epidemia</w:t>
            </w:r>
          </w:p>
        </w:tc>
        <w:tc>
          <w:tcPr>
            <w:tcW w:type="dxa" w:w="14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S.Epidemia</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LightGBM</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0.628</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0.732</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0.749</w:t>
            </w:r>
          </w:p>
        </w:tc>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0.265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0.914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0.784</w:t>
            </w:r>
          </w:p>
        </w:tc>
      </w:tr>
      <w:tr>
        <w:tc>
          <w:tcPr>
            <w:tcW w:type="dxa" w:w="16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XGBoost</w:t>
            </w:r>
          </w:p>
        </w:tc>
        <w:tc>
          <w:tcPr>
            <w:tcW w:type="dxa" w:w="1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0.614</w:t>
            </w:r>
          </w:p>
        </w:tc>
        <w:tc>
          <w:tcPr>
            <w:tcW w:type="dxa" w:w="1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0.730</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0.731</w:t>
            </w:r>
          </w:p>
        </w:tc>
        <w:tc>
          <w:tcPr>
            <w:tcW w:type="dxa" w:w="8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0.282</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0.919</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0.767</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Random Forest</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0.666</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0.724</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0.717</w:t>
            </w:r>
          </w:p>
        </w:tc>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0.312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0.917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0.777</w:t>
            </w:r>
          </w:p>
        </w:tc>
      </w:tr>
      <w:tr>
        <w:tc>
          <w:tcPr>
            <w:tcW w:type="dxa" w:w="16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CatBoost</w:t>
            </w:r>
          </w:p>
        </w:tc>
        <w:tc>
          <w:tcPr>
            <w:tcW w:type="dxa" w:w="1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0.666</w:t>
            </w:r>
          </w:p>
        </w:tc>
        <w:tc>
          <w:tcPr>
            <w:tcW w:type="dxa" w:w="1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0.708</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0.716</w:t>
            </w:r>
          </w:p>
        </w:tc>
        <w:tc>
          <w:tcPr>
            <w:tcW w:type="dxa" w:w="8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0.311</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0.927</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0.761</w:t>
            </w:r>
          </w:p>
        </w:tc>
      </w:tr>
      <w:tr>
        <w:tc>
          <w:tcPr>
            <w:tcW w:type="dxa" w:w="16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Logistic (baseline)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0.486</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0.595</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0.618</w:t>
            </w:r>
          </w:p>
        </w:tc>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0.400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0.727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0.694</w:t>
            </w:r>
          </w:p>
        </w:tc>
      </w:tr>
    </w:tbl>
    <w:p>
      <w:pPr>
        <w:pStyle w:val="Heading2"/>
        <w:spacing w:after="120" w:before="200"/>
      </w:pPr>
      <w:r>
        <w:rPr>
          <w:b/>
          <w:bCs/>
        </w:rPr>
        <w:t xml:space="preserve">8.2 Matrices de Confusión</w:t>
      </w:r>
    </w:p>
    <w:p>
      <w:pPr>
        <w:spacing w:after="120" w:before="120"/>
        <w:jc w:val="center"/>
      </w:pPr>
      <w:r>
        <w:drawing>
          <wp:inline distT="0" distB="0" distL="0" distR="0">
            <wp:extent cx="5715000" cy="3571875"/>
            <wp:effectExtent t="0" r="0" b="0" l="0"/>
            <wp:docPr id="1" name="img/confusion_matrices.png" descr="img/confusion_matrices.png" title="img/confus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pStyle w:val="Heading2"/>
        <w:spacing w:after="120" w:before="200"/>
      </w:pPr>
      <w:r>
        <w:rPr>
          <w:b/>
          <w:bCs/>
        </w:rPr>
        <w:t xml:space="preserve">8.3 Perfil de Alerta Epidémica</w:t>
      </w:r>
    </w:p>
    <w:p>
      <w:pPr>
        <w:spacing w:after="120" w:before="120"/>
        <w:jc w:val="center"/>
      </w:pPr>
      <w:r>
        <w:drawing>
          <wp:inline distT="0" distB="0" distL="0" distR="0">
            <wp:extent cx="5334000" cy="2286000"/>
            <wp:effectExtent t="0" r="0" b="0" l="0"/>
            <wp:docPr id="1" name="img/operational_risk.png" descr="img/operational_risk.png" title="img/operational_ri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860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5960"/>
      </w:tblGrid>
      <w:tr>
        <w:tc>
          <w:tcPr>
            <w:tcW w:type="dxa" w:w="24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Métrica</w:t>
            </w:r>
          </w:p>
        </w:tc>
        <w:tc>
          <w:tcPr>
            <w:tcW w:type="dxa" w:w="10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Valor</w:t>
            </w:r>
          </w:p>
        </w:tc>
        <w:tc>
          <w:tcPr>
            <w:tcW w:type="dxa" w:w="596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Interpretación</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Sensibilidad</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78.4%</w:t>
            </w:r>
          </w:p>
        </w:tc>
        <w:tc>
          <w:tcPr>
            <w:tcW w:type="dxa" w:w="59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Detecta 78 de cada 100 epidemias reales</w:t>
            </w:r>
          </w:p>
        </w:tc>
      </w:tr>
      <w:tr>
        <w:tc>
          <w:tcPr>
            <w:tcW w:type="dxa" w:w="2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Especificidad</w:t>
            </w:r>
          </w:p>
        </w:tc>
        <w:tc>
          <w:tcPr>
            <w:tcW w:type="dxa" w:w="1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94.8%</w:t>
            </w:r>
          </w:p>
        </w:tc>
        <w:tc>
          <w:tcPr>
            <w:tcW w:type="dxa" w:w="59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Descarta 95 de cada 100 no-epidemias</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Valor Predictivo Positivo</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91.4%</w:t>
            </w:r>
          </w:p>
        </w:tc>
        <w:tc>
          <w:tcPr>
            <w:tcW w:type="dxa" w:w="59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Cuando alerta epidemia, acierta 91%</w:t>
            </w:r>
          </w:p>
        </w:tc>
      </w:tr>
      <w:tr>
        <w:tc>
          <w:tcPr>
            <w:tcW w:type="dxa" w:w="2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Valor Predictivo Negativo</w:t>
            </w:r>
          </w:p>
        </w:tc>
        <w:tc>
          <w:tcPr>
            <w:tcW w:type="dxa" w:w="1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84.4%</w:t>
            </w:r>
          </w:p>
        </w:tc>
        <w:tc>
          <w:tcPr>
            <w:tcW w:type="dxa" w:w="59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Cuando dice no-epidemia, acierta 84%</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Error catastrófico</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1.4%</w:t>
            </w:r>
          </w:p>
        </w:tc>
        <w:tc>
          <w:tcPr>
            <w:tcW w:type="dxa" w:w="59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Solo 1.4% confunde éxito con epidemia</w:t>
            </w:r>
          </w:p>
        </w:tc>
      </w:tr>
    </w:tbl>
    <w:p>
      <w:r>
        <w:br w:type="page"/>
      </w:r>
    </w:p>
    <w:p>
      <w:pPr>
        <w:pStyle w:val="Heading1"/>
        <w:spacing w:after="120" w:before="200"/>
      </w:pPr>
      <w:r>
        <w:rPr>
          <w:b/>
          <w:bCs/>
        </w:rPr>
        <w:t xml:space="preserve">9. Diseño de Experimento: PCA vs Variables Individuales</w:t>
      </w:r>
    </w:p>
    <w:p>
      <w:pPr>
        <w:pStyle w:val="Heading2"/>
        <w:spacing w:after="120" w:before="200"/>
      </w:pPr>
      <w:r>
        <w:rPr>
          <w:b/>
          <w:bCs/>
        </w:rPr>
        <w:t xml:space="preserve">9.1 Diseño</w:t>
      </w:r>
    </w:p>
    <w:p>
      <w:pPr>
        <w:spacing w:after="120"/>
        <w:jc w:val="both"/>
      </w:pPr>
      <w:r>
        <w:rPr>
          <w:rFonts w:ascii="Arial" w:cs="Arial" w:eastAsia="Arial" w:hAnsi="Arial"/>
          <w:sz w:val="22"/>
          <w:szCs w:val="22"/>
        </w:rPr>
        <w:t xml:space="preserve">Diseño multifactorial 2x2. Factor 1: Modelo (LightGBM vs RF). Factor 2: Config features temperatura (Config A: PCA en 1 columna vs Config B: 8 columnas individuales). 10 iteraciones RandomizedSearchCV por condición, 40 ejecuciones totales. Misma semilla aleatoria (random_state=42) para aislar el efecto de las features.</w:t>
      </w:r>
    </w:p>
    <w:p>
      <w:pPr>
        <w:pStyle w:val="Heading2"/>
        <w:spacing w:after="120" w:before="200"/>
      </w:pPr>
      <w:r>
        <w:rPr>
          <w:b/>
          <w:bCs/>
        </w:rPr>
        <w:t xml:space="preserve">9.2 Resultados</w:t>
      </w:r>
    </w:p>
    <w:p>
      <w:pPr>
        <w:spacing w:after="120" w:before="120"/>
        <w:jc w:val="center"/>
      </w:pPr>
      <w:r>
        <w:drawing>
          <wp:inline distT="0" distB="0" distL="0" distR="0">
            <wp:extent cx="3238500" cy="2190750"/>
            <wp:effectExtent t="0" r="0" b="0" l="0"/>
            <wp:docPr id="1" name="img/heatmap_doe.png" descr="img/heatmap_doe.png" title="img/heatmap_do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38500" cy="21907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
            </w:r>
          </w:p>
        </w:tc>
        <w:tc>
          <w:tcPr>
            <w:tcW w:type="dxa" w:w="24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Config A (PCA, 1 col)</w:t>
            </w:r>
          </w:p>
        </w:tc>
        <w:tc>
          <w:tcPr>
            <w:tcW w:type="dxa" w:w="24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Config B (raw, 8 cols)</w:t>
            </w:r>
          </w:p>
        </w:tc>
        <w:tc>
          <w:tcPr>
            <w:tcW w:type="dxa" w:w="216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Delta</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LightGBM</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0.7319</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0.7322</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+0.0003</w:t>
            </w:r>
          </w:p>
        </w:tc>
      </w:tr>
      <w:tr>
        <w:tc>
          <w:tcPr>
            <w:tcW w:type="dxa" w:w="2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Random Forest</w:t>
            </w:r>
          </w:p>
        </w:tc>
        <w:tc>
          <w:tcPr>
            <w:tcW w:type="dxa" w:w="2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0.7243</w:t>
            </w:r>
          </w:p>
        </w:tc>
        <w:tc>
          <w:tcPr>
            <w:tcW w:type="dxa" w:w="2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0.7243</w:t>
            </w:r>
          </w:p>
        </w:tc>
        <w:tc>
          <w:tcPr>
            <w:tcW w:type="dxa" w:w="21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0.0000</w:t>
            </w:r>
          </w:p>
        </w:tc>
      </w:tr>
    </w:tbl>
    <w:p>
      <w:pPr>
        <w:pStyle w:val="Heading2"/>
        <w:spacing w:after="120" w:before="200"/>
      </w:pPr>
      <w:r>
        <w:rPr>
          <w:b/>
          <w:bCs/>
        </w:rPr>
        <w:t xml:space="preserve">9.3 Conclusión del DOE</w:t>
      </w:r>
    </w:p>
    <w:p>
      <w:pPr>
        <w:spacing w:after="120"/>
        <w:jc w:val="both"/>
      </w:pPr>
      <w:r>
        <w:rPr>
          <w:rFonts w:ascii="Arial" w:cs="Arial" w:eastAsia="Arial" w:hAnsi="Arial"/>
          <w:sz w:val="22"/>
          <w:szCs w:val="22"/>
        </w:rPr>
        <w:t xml:space="preserve">La compresión PCA de temperatura está completamente justificada. La diferencia es menor a 0.001 en F1, consistente en las 10 iteraciones y en ambos modelos. Las 8 variables individuales de temperatura no aportan información que el PCA no capture. La temperatura contribuye solo 3-4% de la importancia total del modelo.</w:t>
      </w:r>
    </w:p>
    <w:p>
      <w:r>
        <w:br w:type="page"/>
      </w:r>
    </w:p>
    <w:p>
      <w:pPr>
        <w:pStyle w:val="Heading1"/>
        <w:spacing w:after="120" w:before="200"/>
      </w:pPr>
      <w:r>
        <w:rPr>
          <w:b/>
          <w:bCs/>
        </w:rPr>
        <w:t xml:space="preserve">10. Evaluación de Horizontes de Predicción</w:t>
      </w:r>
    </w:p>
    <w:p>
      <w:pPr>
        <w:pStyle w:val="Heading2"/>
        <w:spacing w:after="120" w:before="200"/>
      </w:pPr>
      <w:r>
        <w:rPr>
          <w:b/>
          <w:bCs/>
        </w:rPr>
        <w:t xml:space="preserve">10.1 Metodología</w:t>
      </w:r>
    </w:p>
    <w:p>
      <w:pPr>
        <w:spacing w:after="120"/>
        <w:jc w:val="both"/>
      </w:pPr>
      <w:r>
        <w:rPr>
          <w:rFonts w:ascii="Arial" w:cs="Arial" w:eastAsia="Arial" w:hAnsi="Arial"/>
          <w:sz w:val="22"/>
          <w:szCs w:val="22"/>
        </w:rPr>
        <w:t xml:space="preserve">Se desplazó la variable objetivo (nivel_riesgo) hacia adelante 1, 2 y 3 meses mediante shift(-N) agrupado por municipio. Cada fila conserva sus features originales pero su target pasa a ser el riesgo de N meses en el futuro. Se entrenó LightGBM con los hiperparámetros óptimos del DOE y se evaluó en hold-out (año 2024).</w:t>
      </w:r>
    </w:p>
    <w:p>
      <w:pPr>
        <w:pStyle w:val="Heading2"/>
        <w:spacing w:after="120" w:before="200"/>
      </w:pPr>
      <w:r>
        <w:rPr>
          <w:b/>
          <w:bCs/>
        </w:rPr>
        <w:t xml:space="preserve">10.2 Resultados</w:t>
      </w:r>
    </w:p>
    <w:p>
      <w:pPr>
        <w:spacing w:after="120" w:before="120"/>
        <w:jc w:val="center"/>
      </w:pPr>
      <w:r>
        <w:drawing>
          <wp:inline distT="0" distB="0" distL="0" distR="0">
            <wp:extent cx="4762500" cy="2667000"/>
            <wp:effectExtent t="0" r="0" b="0" l="0"/>
            <wp:docPr id="1" name="img/degradacion_horizontes.png" descr="img/degradacion_horizontes.png" title="img/degradacion_horizo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6670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200"/>
        <w:gridCol w:w="1400"/>
        <w:gridCol w:w="1400"/>
        <w:gridCol w:w="2160"/>
      </w:tblGrid>
      <w:tr>
        <w:tc>
          <w:tcPr>
            <w:tcW w:type="dxa" w:w="20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Horizonte</w:t>
            </w:r>
          </w:p>
        </w:tc>
        <w:tc>
          <w:tcPr>
            <w:tcW w:type="dxa" w:w="12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F1 Macro</w:t>
            </w:r>
          </w:p>
        </w:tc>
        <w:tc>
          <w:tcPr>
            <w:tcW w:type="dxa" w:w="12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Exactitud</w:t>
            </w:r>
          </w:p>
        </w:tc>
        <w:tc>
          <w:tcPr>
            <w:tcW w:type="dxa" w:w="14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 Epidemia</w:t>
            </w:r>
          </w:p>
        </w:tc>
        <w:tc>
          <w:tcPr>
            <w:tcW w:type="dxa" w:w="14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 Epidemia</w:t>
            </w:r>
          </w:p>
        </w:tc>
        <w:tc>
          <w:tcPr>
            <w:tcW w:type="dxa" w:w="216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Error catastrófico</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Nowcast (0 meses)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0.585</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0.809</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87.9%</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89.6%</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1.4%</w:t>
            </w:r>
          </w:p>
        </w:tc>
      </w:tr>
      <w:tr>
        <w:tc>
          <w:tcPr>
            <w:tcW w:type="dxa" w:w="2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 mes adelante</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0.445 (-0.140)</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0.757</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80.4%</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92.3%</w:t>
            </w:r>
          </w:p>
        </w:tc>
        <w:tc>
          <w:tcPr>
            <w:tcW w:type="dxa" w:w="21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1.8%</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 meses adelante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0.403 (-0.182)</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0.742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78.1%</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93.6%</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2.3%</w:t>
            </w:r>
          </w:p>
        </w:tc>
      </w:tr>
      <w:tr>
        <w:tc>
          <w:tcPr>
            <w:tcW w:type="dxa" w:w="2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 meses adelante</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0.361 (-0.224)</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0.742</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76.2%</w:t>
            </w:r>
          </w:p>
        </w:tc>
        <w:tc>
          <w:tcPr>
            <w:tcW w:type="dxa" w:w="14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96.4%</w:t>
            </w:r>
          </w:p>
        </w:tc>
        <w:tc>
          <w:tcPr>
            <w:tcW w:type="dxa" w:w="21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3.0%</w:t>
            </w:r>
          </w:p>
        </w:tc>
      </w:tr>
    </w:tbl>
    <w:p>
      <w:pPr>
        <w:pStyle w:val="Heading2"/>
        <w:spacing w:after="120" w:before="200"/>
      </w:pPr>
      <w:r>
        <w:rPr>
          <w:b/>
          <w:bCs/>
        </w:rPr>
        <w:t xml:space="preserve">10.3 Matrices de Confusión por Horizonte</w:t>
      </w:r>
    </w:p>
    <w:p>
      <w:pPr>
        <w:spacing w:after="120" w:before="120"/>
        <w:jc w:val="center"/>
      </w:pPr>
      <w:r>
        <w:drawing>
          <wp:inline distT="0" distB="0" distL="0" distR="0">
            <wp:extent cx="5524500" cy="1666875"/>
            <wp:effectExtent t="0" r="0" b="0" l="0"/>
            <wp:docPr id="1" name="img/matrices_horizontes.png" descr="img/matrices_horizontes.png" title="img/matrices_horizo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1666875"/>
                    </a:xfrm>
                    <a:prstGeom prst="rect">
                      <a:avLst/>
                    </a:prstGeom>
                  </pic:spPr>
                </pic:pic>
              </a:graphicData>
            </a:graphic>
          </wp:inline>
        </w:drawing>
      </w:r>
    </w:p>
    <w:p>
      <w:pPr>
        <w:spacing w:after="120"/>
        <w:jc w:val="both"/>
      </w:pPr>
      <w:r>
        <w:rPr>
          <w:rFonts w:ascii="Arial" w:cs="Arial" w:eastAsia="Arial" w:hAnsi="Arial"/>
          <w:sz w:val="22"/>
          <w:szCs w:val="22"/>
        </w:rPr>
        <w:t xml:space="preserve">Las matrices muestran cómo el modelo pierde la capacidad de distinguir las clases éxito y en rango al aumentar el horizonte. En el nowcast, el 63% de en rango se clasifica correctamente; a 3 meses, solo el 10.5%. La sensibilidad de epidemia sube paradójicamente (89.6% a 96.4%) porque el modelo predice epidemia para casi todo.</w:t>
      </w:r>
    </w:p>
    <w:p>
      <w:pPr>
        <w:pStyle w:val="Heading2"/>
        <w:spacing w:after="120" w:before="200"/>
      </w:pPr>
      <w:r>
        <w:rPr>
          <w:b/>
          <w:bCs/>
        </w:rPr>
        <w:t xml:space="preserve">10.4 Análisis de la Degradación</w:t>
      </w:r>
    </w:p>
    <w:p>
      <w:pPr>
        <w:pStyle w:val="ListParagraph"/>
        <w:numPr>
          <w:ilvl w:val="0"/>
          <w:numId w:val="2"/>
        </w:numPr>
        <w:spacing w:after="60"/>
      </w:pPr>
      <w:r>
        <w:rPr>
          <w:rFonts w:ascii="Arial" w:cs="Arial" w:eastAsia="Arial" w:hAnsi="Arial"/>
          <w:b/>
          <w:bCs/>
          <w:sz w:val="22"/>
          <w:szCs w:val="22"/>
        </w:rPr>
        <w:t xml:space="preserve">Variables del mes actual: </w:t>
      </w:r>
      <w:r>
        <w:rPr>
          <w:rFonts w:ascii="Arial" w:cs="Arial" w:eastAsia="Arial" w:hAnsi="Arial"/>
          <w:sz w:val="22"/>
          <w:szCs w:val="22"/>
        </w:rPr>
        <w:t xml:space="preserve">El modelo usa precipitación, NDVI, dew_point del mes que predice. Al desplazar el target, estas variables pierden su señal directa con el riesgo futuro.</w:t>
      </w:r>
    </w:p>
    <w:p>
      <w:pPr>
        <w:pStyle w:val="ListParagraph"/>
        <w:numPr>
          <w:ilvl w:val="0"/>
          <w:numId w:val="2"/>
        </w:numPr>
        <w:spacing w:after="60"/>
      </w:pPr>
      <w:r>
        <w:rPr>
          <w:rFonts w:ascii="Arial" w:cs="Arial" w:eastAsia="Arial" w:hAnsi="Arial"/>
          <w:b/>
          <w:bCs/>
          <w:sz w:val="22"/>
          <w:szCs w:val="22"/>
        </w:rPr>
        <w:t xml:space="preserve">Inercia epidemiológica diluida: </w:t>
      </w:r>
      <w:r>
        <w:rPr>
          <w:rFonts w:ascii="Arial" w:cs="Arial" w:eastAsia="Arial" w:hAnsi="Arial"/>
          <w:sz w:val="22"/>
          <w:szCs w:val="22"/>
        </w:rPr>
        <w:t xml:space="preserve">Los lags de riesgo y casos (27% de importancia) capturan la inercia de 1-3 meses. A 1 mes, el lag1 aún correlaciona con el target. A 3 meses, la correlación se rompe.</w:t>
      </w:r>
    </w:p>
    <w:p>
      <w:pPr>
        <w:pStyle w:val="ListParagraph"/>
        <w:numPr>
          <w:ilvl w:val="0"/>
          <w:numId w:val="2"/>
        </w:numPr>
        <w:spacing w:after="60"/>
      </w:pPr>
      <w:r>
        <w:rPr>
          <w:rFonts w:ascii="Arial" w:cs="Arial" w:eastAsia="Arial" w:hAnsi="Arial"/>
          <w:b/>
          <w:bCs/>
          <w:sz w:val="22"/>
          <w:szCs w:val="22"/>
        </w:rPr>
        <w:t xml:space="preserve">nivel_endemico estable: </w:t>
      </w:r>
      <w:r>
        <w:rPr>
          <w:rFonts w:ascii="Arial" w:cs="Arial" w:eastAsia="Arial" w:hAnsi="Arial"/>
          <w:sz w:val="22"/>
          <w:szCs w:val="22"/>
        </w:rPr>
        <w:t xml:space="preserve">La MG histórica (30%) no depende del horizonte, lo que explica por qué la exactitud global (74%) no colapsa completamente.</w:t>
      </w:r>
    </w:p>
    <w:p>
      <w:pPr>
        <w:pStyle w:val="Heading2"/>
        <w:spacing w:after="120" w:before="200"/>
      </w:pPr>
      <w:r>
        <w:rPr>
          <w:b/>
          <w:bCs/>
        </w:rPr>
        <w:t xml:space="preserve">10.5 Viabilidad Operativa por Horizonte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1200"/>
        <w:gridCol w:w="1200"/>
        <w:gridCol w:w="4960"/>
      </w:tblGrid>
      <w:tr>
        <w:tc>
          <w:tcPr>
            <w:tcW w:type="dxa" w:w="12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Horizonte</w:t>
            </w:r>
          </w:p>
        </w:tc>
        <w:tc>
          <w:tcPr>
            <w:tcW w:type="dxa" w:w="8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F1</w:t>
            </w:r>
          </w:p>
        </w:tc>
        <w:tc>
          <w:tcPr>
            <w:tcW w:type="dxa" w:w="12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 Epidemia</w:t>
            </w:r>
          </w:p>
        </w:tc>
        <w:tc>
          <w:tcPr>
            <w:tcW w:type="dxa" w:w="12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Viabilidad</w:t>
            </w:r>
          </w:p>
        </w:tc>
        <w:tc>
          <w:tcPr>
            <w:tcW w:type="dxa" w:w="496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Uso recomendado</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Nowcast</w:t>
            </w:r>
          </w:p>
        </w:tc>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0.585</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87.9%</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Alta</w:t>
            </w:r>
          </w:p>
        </w:tc>
        <w:tc>
          <w:tcPr>
            <w:tcW w:type="dxa" w:w="49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Clasificación mensual de todos los municipios</w:t>
            </w:r>
          </w:p>
        </w:tc>
      </w:tr>
      <w:tr>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1 mes</w:t>
            </w:r>
          </w:p>
        </w:tc>
        <w:tc>
          <w:tcPr>
            <w:tcW w:type="dxa" w:w="8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0.445</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80.4%</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Moderada</w:t>
            </w:r>
          </w:p>
        </w:tc>
        <w:tc>
          <w:tcPr>
            <w:tcW w:type="dxa" w:w="49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8 de 10 alertas correctas. Útil para priorizar</w:t>
            </w:r>
          </w:p>
        </w:tc>
      </w:tr>
      <w:tr>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2 meses</w:t>
            </w:r>
          </w:p>
        </w:tc>
        <w:tc>
          <w:tcPr>
            <w:tcW w:type="dxa" w:w="8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0.403</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78.1%</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Baja</w:t>
            </w:r>
          </w:p>
        </w:tc>
        <w:tc>
          <w:tcPr>
            <w:tcW w:type="dxa" w:w="49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Solo alerta estratégica general</w:t>
            </w:r>
          </w:p>
        </w:tc>
      </w:tr>
      <w:tr>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3 meses</w:t>
            </w:r>
          </w:p>
        </w:tc>
        <w:tc>
          <w:tcPr>
            <w:tcW w:type="dxa" w:w="8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0.361</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76.2%</w:t>
            </w:r>
          </w:p>
        </w:tc>
        <w:tc>
          <w:tcPr>
            <w:tcW w:type="dxa" w:w="1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No viable</w:t>
            </w:r>
          </w:p>
        </w:tc>
        <w:tc>
          <w:tcPr>
            <w:tcW w:type="dxa" w:w="49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No recomendado para decisiones operativas</w:t>
            </w:r>
          </w:p>
        </w:tc>
      </w:tr>
    </w:tbl>
    <w:p>
      <w:r>
        <w:br w:type="page"/>
      </w:r>
    </w:p>
    <w:p>
      <w:pPr>
        <w:pStyle w:val="Heading1"/>
        <w:spacing w:after="120" w:before="200"/>
      </w:pPr>
      <w:r>
        <w:rPr>
          <w:b/>
          <w:bCs/>
        </w:rPr>
        <w:t xml:space="preserve">11. Registro de Decisiones de Diseño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160"/>
        <w:gridCol w:w="2200"/>
      </w:tblGrid>
      <w:tr>
        <w:tc>
          <w:tcPr>
            <w:tcW w:type="dxa" w:w="20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Decisión</w:t>
            </w:r>
          </w:p>
        </w:tc>
        <w:tc>
          <w:tcPr>
            <w:tcW w:type="dxa" w:w="516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Justificación</w:t>
            </w:r>
          </w:p>
        </w:tc>
        <w:tc>
          <w:tcPr>
            <w:tcW w:type="dxa" w:w="2200"/>
            <w:tcBorders>
              <w:top w:val="single" w:color="BBBBBB" w:sz="1"/>
              <w:left w:val="single" w:color="BBBBBB" w:sz="1"/>
              <w:bottom w:val="single" w:color="BBBBBB" w:sz="1"/>
              <w:right w:val="single" w:color="BBBBBB" w:sz="1"/>
            </w:tcBorders>
            <w:shd w:fill="1565C0"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Impacto</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Target: nivel de riesgo ordinal</w:t>
            </w:r>
          </w:p>
        </w:tc>
        <w:tc>
          <w:tcPr>
            <w:tcW w:type="dxa" w:w="51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El conteo varía entre municipios. El nivel normaliza por escala.</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Viabiliza la clasificación</w:t>
            </w:r>
          </w:p>
        </w:tc>
      </w:tr>
      <w:tr>
        <w:tc>
          <w:tcPr>
            <w:tcW w:type="dxa" w:w="2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Canal Bortman (MG + IC95%)</w:t>
            </w:r>
          </w:p>
        </w:tc>
        <w:tc>
          <w:tcPr>
            <w:tcW w:type="dxa" w:w="51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Método oficial del INS. Suaviza distribuciones sesgadas.</w:t>
            </w:r>
          </w:p>
        </w:tc>
        <w:tc>
          <w:tcPr>
            <w:tcW w:type="dxa" w:w="2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Alineación institucional</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Colapso de 4 a 3 clases</w:t>
            </w:r>
          </w:p>
        </w:tc>
        <w:tc>
          <w:tcPr>
            <w:tcW w:type="dxa" w:w="51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Seguridad y alerta indistinguibles (F1=0.33 para alerta).</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Eliminación de clase ruidosa (+4 pts F1)</w:t>
            </w:r>
          </w:p>
        </w:tc>
      </w:tr>
      <w:tr>
        <w:tc>
          <w:tcPr>
            <w:tcW w:type="dxa" w:w="2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nivel_endemico como feature</w:t>
            </w:r>
          </w:p>
        </w:tc>
        <w:tc>
          <w:tcPr>
            <w:tcW w:type="dxa" w:w="51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El modelo necesita la escala del municipio.</w:t>
            </w:r>
          </w:p>
        </w:tc>
        <w:tc>
          <w:tcPr>
            <w:tcW w:type="dxa" w:w="2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Variable más importante (+20 pts F1)</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Regla 0 casos = éxito</w:t>
            </w:r>
          </w:p>
        </w:tc>
        <w:tc>
          <w:tcPr>
            <w:tcW w:type="dxa" w:w="51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0 casos no puede ser epidemia (bug LI=MG=LS=0).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Etiquetas de entrenamiento correctas</w:t>
            </w:r>
          </w:p>
        </w:tc>
      </w:tr>
      <w:tr>
        <w:tc>
          <w:tcPr>
            <w:tcW w:type="dxa" w:w="20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PCA sobre temperatura</w:t>
            </w:r>
          </w:p>
        </w:tc>
        <w:tc>
          <w:tcPr>
            <w:tcW w:type="dxa" w:w="516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DOE confirmó: diferencia menor a 0.001 en F1.</w:t>
            </w:r>
          </w:p>
        </w:tc>
        <w:tc>
          <w:tcPr>
            <w:tcW w:type="dxa" w:w="2200"/>
            <w:tcBorders>
              <w:top w:val="single" w:color="BBBBBB" w:sz="1"/>
              <w:left w:val="single" w:color="BBBBBB" w:sz="1"/>
              <w:bottom w:val="single" w:color="BBBBBB" w:sz="1"/>
              <w:right w:val="single" w:color="BBBBBB" w:sz="1"/>
            </w:tcBorders>
            <w:shd w:fill="F5F5F5" w:val="clear"/>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Reducción de 8 a 1 columna sin pérdida</w:t>
            </w:r>
          </w:p>
        </w:tc>
      </w:tr>
      <w:tr>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PCA sobre ENSO (16 a 2)</w:t>
            </w:r>
          </w:p>
        </w:tc>
        <w:tc>
          <w:tcPr>
            <w:tcW w:type="dxa" w:w="516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Correlaciones 0.80-0.84 entre lags consecutivos.</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vAlign w:val="center"/>
          </w:tcPr>
          <w:p>
            <w:pPr>
              <w:jc w:val="center"/>
            </w:pPr>
            <w:r>
              <w:rPr>
                <w:rFonts w:ascii="Arial" w:cs="Arial" w:eastAsia="Arial" w:hAnsi="Arial"/>
                <w:b w:val="false"/>
                <w:bCs w:val="false"/>
                <w:color w:val="000000"/>
                <w:sz w:val="20"/>
                <w:szCs w:val="20"/>
              </w:rPr>
              <w:t xml:space="preserve">ENSO sube de menor a 1% a 5.6% importancia</w:t>
            </w:r>
          </w:p>
        </w:tc>
      </w:tr>
    </w:tbl>
    <w:p>
      <w:r>
        <w:br w:type="page"/>
      </w:r>
    </w:p>
    <w:p>
      <w:pPr>
        <w:pStyle w:val="Heading1"/>
        <w:spacing w:after="120" w:before="200"/>
      </w:pPr>
      <w:r>
        <w:rPr>
          <w:b/>
          <w:bCs/>
        </w:rPr>
        <w:t xml:space="preserve">12. Conclusiones y Recomendaciones</w:t>
      </w:r>
    </w:p>
    <w:p>
      <w:pPr>
        <w:pStyle w:val="ListParagraph"/>
        <w:numPr>
          <w:ilvl w:val="0"/>
          <w:numId w:val="2"/>
        </w:numPr>
        <w:spacing w:after="60"/>
      </w:pPr>
      <w:r>
        <w:rPr>
          <w:rFonts w:ascii="Arial" w:cs="Arial" w:eastAsia="Arial" w:hAnsi="Arial"/>
          <w:b/>
          <w:bCs/>
          <w:sz w:val="22"/>
          <w:szCs w:val="22"/>
        </w:rPr>
        <w:t xml:space="preserve">Clasificación del mes actual es robusta: </w:t>
      </w:r>
      <w:r>
        <w:rPr>
          <w:rFonts w:ascii="Arial" w:cs="Arial" w:eastAsia="Arial" w:hAnsi="Arial"/>
          <w:sz w:val="22"/>
          <w:szCs w:val="22"/>
        </w:rPr>
        <w:t xml:space="preserve">F1=0.73, precision epidemia 91.4%. 9 de cada 10 alertas son correctas. Error catastrófico menor al 2%.</w:t>
      </w:r>
    </w:p>
    <w:p>
      <w:pPr>
        <w:pStyle w:val="ListParagraph"/>
        <w:numPr>
          <w:ilvl w:val="0"/>
          <w:numId w:val="2"/>
        </w:numPr>
        <w:spacing w:after="60"/>
      </w:pPr>
      <w:r>
        <w:rPr>
          <w:rFonts w:ascii="Arial" w:cs="Arial" w:eastAsia="Arial" w:hAnsi="Arial"/>
          <w:b/>
          <w:bCs/>
          <w:sz w:val="22"/>
          <w:szCs w:val="22"/>
        </w:rPr>
        <w:t xml:space="preserve">Predicción a 1 mes es el límite práctico: </w:t>
      </w:r>
      <w:r>
        <w:rPr>
          <w:rFonts w:ascii="Arial" w:cs="Arial" w:eastAsia="Arial" w:hAnsi="Arial"/>
          <w:sz w:val="22"/>
          <w:szCs w:val="22"/>
        </w:rPr>
        <w:t xml:space="preserve">F1 baja a 0.445 pero precision epidemia se mantiene en 80.4%. Útil para priorizar municipios con anticipación.</w:t>
      </w:r>
    </w:p>
    <w:p>
      <w:pPr>
        <w:pStyle w:val="ListParagraph"/>
        <w:numPr>
          <w:ilvl w:val="0"/>
          <w:numId w:val="2"/>
        </w:numPr>
        <w:spacing w:after="60"/>
      </w:pPr>
      <w:r>
        <w:rPr>
          <w:rFonts w:ascii="Arial" w:cs="Arial" w:eastAsia="Arial" w:hAnsi="Arial"/>
          <w:b/>
          <w:bCs/>
          <w:sz w:val="22"/>
          <w:szCs w:val="22"/>
        </w:rPr>
        <w:t xml:space="preserve">Predicción a 2-3 meses no es viable: </w:t>
      </w:r>
      <w:r>
        <w:rPr>
          <w:rFonts w:ascii="Arial" w:cs="Arial" w:eastAsia="Arial" w:hAnsi="Arial"/>
          <w:sz w:val="22"/>
          <w:szCs w:val="22"/>
        </w:rPr>
        <w:t xml:space="preserve">El modelo pierde discriminación entre clases. A 3 meses clasifica 96% como epidemia.</w:t>
      </w:r>
    </w:p>
    <w:p>
      <w:pPr>
        <w:pStyle w:val="ListParagraph"/>
        <w:numPr>
          <w:ilvl w:val="0"/>
          <w:numId w:val="2"/>
        </w:numPr>
        <w:spacing w:after="60"/>
      </w:pPr>
      <w:r>
        <w:rPr>
          <w:rFonts w:ascii="Arial" w:cs="Arial" w:eastAsia="Arial" w:hAnsi="Arial"/>
          <w:b/>
          <w:bCs/>
          <w:sz w:val="22"/>
          <w:szCs w:val="22"/>
        </w:rPr>
        <w:t xml:space="preserve">PCA de temperatura justificado: </w:t>
      </w:r>
      <w:r>
        <w:rPr>
          <w:rFonts w:ascii="Arial" w:cs="Arial" w:eastAsia="Arial" w:hAnsi="Arial"/>
          <w:sz w:val="22"/>
          <w:szCs w:val="22"/>
        </w:rPr>
        <w:t xml:space="preserve">Reducir 8 variables a 1 componente no pierde información. Confirmado por DOE multifactorial 2x2.</w:t>
      </w:r>
    </w:p>
    <w:p>
      <w:pPr>
        <w:pStyle w:val="ListParagraph"/>
        <w:numPr>
          <w:ilvl w:val="0"/>
          <w:numId w:val="2"/>
        </w:numPr>
        <w:spacing w:after="60"/>
      </w:pPr>
      <w:r>
        <w:rPr>
          <w:rFonts w:ascii="Arial" w:cs="Arial" w:eastAsia="Arial" w:hAnsi="Arial"/>
          <w:b/>
          <w:bCs/>
          <w:sz w:val="22"/>
          <w:szCs w:val="22"/>
        </w:rPr>
        <w:t xml:space="preserve">Hiperparámetros óptimos: </w:t>
      </w:r>
      <w:r>
        <w:rPr>
          <w:rFonts w:ascii="Arial" w:cs="Arial" w:eastAsia="Arial" w:hAnsi="Arial"/>
          <w:sz w:val="22"/>
          <w:szCs w:val="22"/>
        </w:rPr>
        <w:t xml:space="preserve">lr=0.05, leaves=63, lambda=10. Learning rate bajo y regularización activa generalizan mejor en datos con subregistro.</w:t>
      </w:r>
    </w:p>
    <w:p>
      <w:pPr>
        <w:pStyle w:val="ListParagraph"/>
        <w:numPr>
          <w:ilvl w:val="0"/>
          <w:numId w:val="2"/>
        </w:numPr>
        <w:spacing w:after="60"/>
      </w:pPr>
      <w:r>
        <w:rPr>
          <w:rFonts w:ascii="Arial" w:cs="Arial" w:eastAsia="Arial" w:hAnsi="Arial"/>
          <w:b/>
          <w:bCs/>
          <w:sz w:val="22"/>
          <w:szCs w:val="22"/>
        </w:rPr>
        <w:t xml:space="preserve">Variables dominantes: </w:t>
      </w:r>
      <w:r>
        <w:rPr>
          <w:rFonts w:ascii="Arial" w:cs="Arial" w:eastAsia="Arial" w:hAnsi="Arial"/>
          <w:sz w:val="22"/>
          <w:szCs w:val="22"/>
        </w:rPr>
        <w:t xml:space="preserve">nivel_endemico (30%), lags de riesgo (16%), lags de casos (11%). La temperatura aporta solo 3-4%.</w:t>
      </w:r>
    </w:p>
    <w:p>
      <w:pPr>
        <w:pStyle w:val="ListParagraph"/>
        <w:numPr>
          <w:ilvl w:val="0"/>
          <w:numId w:val="2"/>
        </w:numPr>
        <w:spacing w:after="60"/>
      </w:pPr>
      <w:r>
        <w:rPr>
          <w:rFonts w:ascii="Arial" w:cs="Arial" w:eastAsia="Arial" w:hAnsi="Arial"/>
          <w:b/>
          <w:bCs/>
          <w:sz w:val="22"/>
          <w:szCs w:val="22"/>
        </w:rPr>
        <w:t xml:space="preserve">Despliegue recomendado: </w:t>
      </w:r>
      <w:r>
        <w:rPr>
          <w:rFonts w:ascii="Arial" w:cs="Arial" w:eastAsia="Arial" w:hAnsi="Arial"/>
          <w:sz w:val="22"/>
          <w:szCs w:val="22"/>
        </w:rPr>
        <w:t xml:space="preserve">Usar como clasificador del mes actual + alerta a 1 mes. Validación prospectiva 3-6 meses en paralelo con SIVIGILA.</w:t>
      </w:r>
    </w:p>
    <w:p>
      <w:pPr>
        <w:pStyle w:val="ListParagraph"/>
        <w:numPr>
          <w:ilvl w:val="0"/>
          <w:numId w:val="2"/>
        </w:numPr>
        <w:spacing w:after="60"/>
      </w:pPr>
      <w:r>
        <w:rPr>
          <w:rFonts w:ascii="Arial" w:cs="Arial" w:eastAsia="Arial" w:hAnsi="Arial"/>
          <w:b/>
          <w:bCs/>
          <w:sz w:val="22"/>
          <w:szCs w:val="22"/>
        </w:rPr>
        <w:t xml:space="preserve">Mejoras futuras: </w:t>
      </w:r>
      <w:r>
        <w:rPr>
          <w:rFonts w:ascii="Arial" w:cs="Arial" w:eastAsia="Arial" w:hAnsi="Arial"/>
          <w:sz w:val="22"/>
          <w:szCs w:val="22"/>
        </w:rPr>
        <w:t xml:space="preserve">Explorar pronósticos climáticos ERA5, variables socioeconómicas, datos de movilidad. Mover PCA dentro del pipeline de CV.</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Documentación Técnica — Riesgo Epidémico de Dengue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565C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333333"/>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5555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ab95ca1de9f4d9bfef4098830dd4cfb628f961.png"/><Relationship Id="rId10" Type="http://schemas.openxmlformats.org/officeDocument/2006/relationships/image" Target="media/853a6053ae949a385e601ce83b51ec9e76d7aa03.png"/><Relationship Id="rId11" Type="http://schemas.openxmlformats.org/officeDocument/2006/relationships/image" Target="media/0ab8b3d2bdf37ce967c1aaaad61432a78377a16e.png"/><Relationship Id="rId12" Type="http://schemas.openxmlformats.org/officeDocument/2006/relationships/image" Target="media/0adfc0ab92c97ba57a2f6d0214dd2618c22d2c99.png"/><Relationship Id="rId13" Type="http://schemas.openxmlformats.org/officeDocument/2006/relationships/image" Target="media/48150953b3569fde7f10c0fd190724143de4a023.png"/><Relationship Id="rId14" Type="http://schemas.openxmlformats.org/officeDocument/2006/relationships/image" Target="media/db7134699114d6b8683f6d97644ae6e0579ae1f2.png"/><Relationship Id="rId15" Type="http://schemas.openxmlformats.org/officeDocument/2006/relationships/image" Target="media/498d9ed67deb2d9b49ebd8c2acb835da67df82e2.png"/><Relationship Id="rId16" Type="http://schemas.openxmlformats.org/officeDocument/2006/relationships/image" Target="media/c5fc55dc566a7bf0d3cd2ccb9452bb97c43c4d9d.png"/><Relationship Id="rId17" Type="http://schemas.openxmlformats.org/officeDocument/2006/relationships/image" Target="media/83727ab96fe3c601b5115694c007bf7e5c7f9236.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2026-06-02T00:59:41.692Z</dcterms:created>
  <dcterms:modified xsi:type="dcterms:W3CDTF">2026-06-02T00:59:41.702Z</dcterms:modified>
</cp:coreProperties>
</file>

<file path=docProps/custom.xml><?xml version="1.0" encoding="utf-8"?>
<Properties xmlns="http://schemas.openxmlformats.org/officeDocument/2006/custom-properties" xmlns:vt="http://schemas.openxmlformats.org/officeDocument/2006/docPropsVTypes"/>
</file>