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_first.xml" ContentType="application/vnd.openxmlformats-officedocument.wordprocessingml.header+xml"/>
  <Override PartName="/word/footer1.xml" ContentType="application/vnd.openxmlformats-officedocument.wordprocessingml.footer+xml"/>
  <Override PartName="/word/footer_firs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20" w:after="40"/>
      </w:pPr>
      <w:r>
        <w:rPr>
          <w:b/>
          <w:sz w:val="24"/>
          <w:color w:val="0F172A"/>
        </w:rPr>
        <w:t>REPÚBLICA BOLIVARIANA DE VENEZUELA</w:t>
      </w:r>
    </w:p>
    <w:p>
      <w:pPr>
        <w:jc w:val="center"/>
        <w:spacing w:after="40"/>
      </w:pPr>
      <w:r>
        <w:rPr>
          <w:b/>
          <w:sz w:val="22"/>
          <w:color w:val="0284C7"/>
        </w:rPr>
        <w:t>MOVIMIENTO INDEPENDIENTE GANAMOS TODOS (MIGATO)</w:t>
      </w:r>
    </w:p>
    <w:p>
      <w:pPr>
        <w:jc w:val="center"/>
        <w:spacing w:after="200"/>
      </w:pPr>
      <w:r>
        <w:rPr>
          <w:sz w:val="20"/>
          <w:color w:val="475569"/>
        </w:rPr>
        <w:t>DIRECCIÓN GENERAL DE ESTRATEGIA Y SALA SITUACIONAL REGIONAL</w:t>
      </w:r>
    </w:p>
    <w:p>
      <w:pPr>
        <w:jc w:val="center"/>
        <w:spacing w:before="140" w:after="200"/>
      </w:pPr>
      <w:r>
        <w:drawing>
          <wp:inline xmlns:wp="http://schemas.openxmlformats.org/drawingml/2006/wordprocessingDrawing" distT="0" distB="0" distL="0" distR="0">
            <wp:extent cx="1350000" cy="1350000"/>
            <wp:docPr id="1" name="Logo MIGATO"/>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Logo"/>
                    <a:stretch>
                      <a:fillRect/>
                    </a:stretch>
                  </pic:blipFill>
                  <pic:spPr>
                    <a:xfrm>
                      <a:off x="0" y="0"/>
                      <a:ext cx="1350000" cy="1350000"/>
                    </a:xfrm>
                    <a:prstGeom prst="rect">
                      <a:avLst/>
                    </a:prstGeom>
                  </pic:spPr>
                </pic:pic>
              </a:graphicData>
            </a:graphic>
          </wp:inline>
        </w:drawing>
      </w:r>
    </w:p>
    <w:p>
      <w:pPr>
        <w:jc w:val="center"/>
        <w:spacing w:before="180" w:after="80"/>
      </w:pPr>
      <w:r>
        <w:rPr>
          <w:b/>
          <w:sz w:val="30"/>
          <w:color w:val="0F172A"/>
        </w:rPr>
        <w:t>DICTAMEN TÉCNICO-ESTRATÉGICO Y ESTUDIO DE FACTIBILIDAD: ARQUITECTURA DE INTELIGENCIA TERRITORIAL, BLINDAJE CIBERNÉTICO Y PRESUPUESTO MÍNIMO OPERATIVO</w:t>
      </w:r>
    </w:p>
    <w:p>
      <w:pPr>
        <w:jc w:val="center"/>
        <w:spacing w:after="260"/>
      </w:pPr>
      <w:r>
        <w:rPr>
          <w:i/>
          <w:sz w:val="23"/>
          <w:color w:val="0284C7"/>
        </w:rPr>
        <w:t>Manual Doctrinal, Evaluación de los Cinco Módulos de Mando Táctico y Protocolo de Pruebas de Hacking Ético en Servidor VPS Soberano</w:t>
      </w:r>
    </w:p>
    <w:p>
      <w:pPr>
        <w:jc w:val="center"/>
        <w:spacing w:before="380" w:after="30"/>
      </w:pPr>
      <w:r>
        <w:rPr>
          <w:b/>
          <w:sz w:val="22"/>
          <w:color w:val="334155"/>
        </w:rPr>
        <w:t>Comando de Campaña y Dirección Estratégica</w:t>
      </w:r>
    </w:p>
    <w:p>
      <w:pPr>
        <w:jc w:val="center"/>
        <w:spacing w:after="30"/>
      </w:pPr>
      <w:r>
        <w:rPr>
          <w:sz w:val="20"/>
          <w:color w:val="64748B"/>
        </w:rPr>
        <w:t>Bajo el Liderazgo Político y Gerencial de José Gregorio "El Gato" Briceño</w:t>
      </w:r>
    </w:p>
    <w:p>
      <w:pPr>
        <w:jc w:val="center"/>
        <w:spacing w:after="260"/>
      </w:pPr>
      <w:r>
        <w:rPr>
          <w:sz w:val="20"/>
          <w:color w:val="64748B"/>
        </w:rPr>
        <w:t>Maturín, Estado Monagas • Septiembre de 2026</w:t>
      </w:r>
    </w:p>
    <w:p>
      <w:r>
        <w:br w:type="page"/>
      </w:r>
    </w:p>
    <w:p>
      <w:pPr>
        <w:pStyle w:val="Heading1"/>
      </w:pPr>
      <w:r>
        <w:t>RESUMEN EJECUTIVO (ABSTRACT INSTITUCIONAL Y FINANCIERO)</w:t>
      </w:r>
    </w:p>
    <w:p>
      <w:pPr>
        <w:jc w:val="both"/>
        <w:spacing w:line="360" w:after="140"/>
      </w:pPr>
      <w:r>
        <w:rPr>
          <w:sz w:val="24"/>
          <w:color w:val="1E293B"/>
        </w:rPr>
        <w:t>El presente dictamen formaliza la evaluación técnico-operativa y el estudio de factibilidad financiera para el despliegue soberano de la Plataforma Territorial MIGATO en el Estado Monagas. Concebida bajo la doctrina gerencial de libre mercado y eficiencia privada liderada por José Gregorio 'El Gato' Briceño, la herramienta le otorga al movimiento el control estratégico absoluto de la información en tiempo real, erradicando la improvisación, el espionaje y la dispersión en grupos vulnerables de mensajería.</w:t>
      </w:r>
    </w:p>
    <w:p>
      <w:pPr>
        <w:jc w:val="both"/>
        <w:spacing w:line="360" w:after="140"/>
      </w:pPr>
      <w:r>
        <w:rPr>
          <w:sz w:val="24"/>
          <w:color w:val="1E293B"/>
        </w:rPr>
        <w:t>A diferencia de la administración pública oficialista que colapsó los servicios del estado y somete a la ciudadanía mediante censos de extorsión, MIGATO articula cinco módulos complementarios (Despacho Celular Seguro, Censo con Protocolo de Buzón Ciego de Cero Residuos, Auditoría Electoral CNE con Validación QR en 2 Segundos, Cartografía Satelital 3D con Atenuación Velo Blanco y Auditoría de la Red Asistencial de 84 Centros de Salud).</w:t>
      </w:r>
    </w:p>
    <w:p>
      <w:pPr>
        <w:jc w:val="both"/>
        <w:spacing w:line="360" w:after="140"/>
      </w:pPr>
      <w:r>
        <w:rPr>
          <w:sz w:val="24"/>
          <w:color w:val="1E293B"/>
        </w:rPr>
        <w:t>Se somete a consideración del Comando Estratégico la aprobación de un presupuesto mínimo indispensable de arranque de ~$24.50 USD mensuales ($294.00 USD anuales) destinado exclusivamente a la contratación de un Servidor Virtual Privado (VPS) soberano y un Dominio Institucional Oficial con cifrado SSL de 256 bits. Dicha infraestructura permitirá realizar pruebas de estrés de concurrencia y ejecutar tests de penetración y hacking ético para blindar la base de datos frente a adversarios antes de la incorporación masiva de la estructura de base.</w:t>
      </w:r>
    </w:p>
    <w:p>
      <w:pPr>
        <w:pBdr>
          <w:left w:val="single" w:sz="24" w:space="14" w:color="0284C7"/>
        </w:pBdr>
        <w:shd w:val="clear" w:color="auto" w:fill="F0F9FF"/>
        <w:spacing w:line="360" w:before="120" w:after="140"/>
        <w:jc w:val="both"/>
      </w:pPr>
      <w:r>
        <w:rPr>
          <w:i/>
          <w:sz w:val="22"/>
          <w:color w:val="0369A1"/>
        </w:rPr>
        <w:t>«La reconstrucción de Monagas exige rigor gerencial, datos fidedignos e inexpugnabilidad tecnológica. Cada voto y cada comunidad deben defenderse con pruebas matemáticas en la mano.» — Comando Estratégico MIGATO.</w:t>
      </w:r>
    </w:p>
    <w:p>
      <w:pPr>
        <w:pStyle w:val="Heading1"/>
      </w:pPr>
      <w:r>
        <w:t>CAPÍTULO I: MARCO DOCTRINAL Y GOBERNANZA CAPITALISTA DE EL GATO BRICEÑO</w:t>
      </w:r>
    </w:p>
    <w:p>
      <w:pPr>
        <w:pStyle w:val="Heading2"/>
      </w:pPr>
      <w:r>
        <w:t>1. Ruptura con el Estatismo y el Clientelismo Centralista</w:t>
      </w:r>
    </w:p>
    <w:p>
      <w:pPr>
        <w:jc w:val="both"/>
        <w:spacing w:line="360" w:after="140"/>
      </w:pPr>
      <w:r>
        <w:rPr>
          <w:sz w:val="24"/>
          <w:color w:val="1E293B"/>
        </w:rPr>
        <w:t>Durante las últimas décadas, el modelo estatista y burocrático destruyó el aparato productivo y los servicios públicos del Estado Monagas. Hospitales sin insumos ni plantas de emergencia, acueductos paralizados, vialidad agrícola intransitable y apagones permanentes son el saldo de una gestión sustentada en la demagogia y la ineficiencia.</w:t>
      </w:r>
    </w:p>
    <w:p>
      <w:pPr>
        <w:jc w:val="both"/>
        <w:spacing w:line="360" w:after="140"/>
      </w:pPr>
      <w:r>
        <w:rPr>
          <w:sz w:val="24"/>
          <w:color w:val="1E293B"/>
        </w:rPr>
        <w:t>El Movimiento Independiente Ganamos Todos (MIGATO), enraizado en la memoria de orden, grandes obras de infraestructura y probada solvencia gerencial del gobierno de El Gato Briceño, plantea un modelo diametralmente opuesto: supremacía del mérito técnico, defensa irrestricta de la iniciativa privada, transparencia contable y soberanía tecnológica. Esta plataforma es el instrumento operativo para demostrar que Monagas puede ser gobernada con estándares corporativos de primer mundo.</w:t>
      </w:r>
    </w:p>
    <w:p>
      <w:pPr>
        <w:pStyle w:val="Heading2"/>
      </w:pPr>
      <w:r>
        <w:t>2. Soberanía de Datos y Protección Contra Persecución</w:t>
      </w:r>
    </w:p>
    <w:p>
      <w:pPr>
        <w:jc w:val="both"/>
        <w:spacing w:line="360" w:after="140"/>
      </w:pPr>
      <w:r>
        <w:rPr>
          <w:sz w:val="24"/>
          <w:color w:val="1E293B"/>
        </w:rPr>
        <w:t>En un entorno político hostil, la seguridad de la información es una premisa innegociable. La plataforma MIGATO se diseñó para operar con protocolos forenses que disocian la información de las personas. La dirigencia de base, los testigos electorales y los profesionales de la salud trabajan bajo un escudo criptográfico que neutraliza cualquier intento de amedrentamiento o confiscación en alcabalas.</w:t>
      </w:r>
    </w:p>
    <w:p>
      <w:pPr>
        <w:pStyle w:val="Heading1"/>
      </w:pPr>
      <w:r>
        <w:t>CAPÍTULO II: ARQUITECTURA TÉCNICA DE LOS CINCO MÓDULOS DE MANDO TÁCTICO</w:t>
      </w:r>
    </w:p>
    <w:p>
      <w:pPr>
        <w:pStyle w:val="Heading2"/>
      </w:pPr>
      <w:r>
        <w:t>1. Módulo 1: Despacho Celular Seguro (/despacho/)</w:t>
      </w:r>
    </w:p>
    <w:p>
      <w:pPr>
        <w:jc w:val="both"/>
        <w:spacing w:line="360" w:after="140"/>
      </w:pPr>
      <w:r>
        <w:rPr>
          <w:sz w:val="24"/>
          <w:color w:val="1E293B"/>
        </w:rPr>
        <w:t>Resuelve el problema histórico del 'teléfono roto' y la filtración de contraseñas. El director de la Sala Situacional pulsa el botón correspondiente a cualquiera de las 44 parroquias de Monagas y el sistema genera automáticamente un enlace encriptado con token individual directo al WhatsApp del coordinador territorial.</w:t>
      </w:r>
    </w:p>
    <w:p>
      <w:pPr>
        <w:jc w:val="both"/>
        <w:spacing w:line="360" w:after="140"/>
      </w:pPr>
      <w:r>
        <w:rPr>
          <w:b/>
          <w:sz w:val="24"/>
          <w:color w:val="0284C7"/>
        </w:rPr>
        <w:t xml:space="preserve">Blindaje Operativo: </w:t>
      </w:r>
      <w:r>
        <w:rPr>
          <w:sz w:val="24"/>
          <w:color w:val="1E293B"/>
        </w:rPr>
        <w:t>El coordinador opera en su jurisdicción sin comprometer las demás parroquias. Si se releva a un cuadro parroquial, su acceso se revoca en 2 segundos sin alterar la configuración del servidor ni afectar a los restantes coordinadores.</w:t>
      </w:r>
    </w:p>
    <w:p>
      <w:pPr>
        <w:pStyle w:val="Heading2"/>
      </w:pPr>
      <w:r>
        <w:t>2. Módulo 2: Censo Territorial y Protocolo Forense de Buzón Ciego (/carga/)</w:t>
      </w:r>
    </w:p>
    <w:p>
      <w:pPr>
        <w:jc w:val="both"/>
        <w:spacing w:line="360" w:after="140"/>
      </w:pPr>
      <w:r>
        <w:rPr>
          <w:sz w:val="24"/>
          <w:color w:val="1E293B"/>
        </w:rPr>
        <w:t>Herramienta ligera para el levantamiento cuantitativo de viviendas, familias, votantes seguros y fallas de servicios (agua, transformadores, vialidad). Implementa el Protocolo de Buzón Ciego (Zero-Byte Memory): al pulsar 'Registrar y Enviar', la memoria del teléfono celular se borra automáticamente.</w:t>
      </w:r>
    </w:p>
    <w:p>
      <w:pPr>
        <w:jc w:val="both"/>
        <w:spacing w:line="360" w:after="140"/>
      </w:pPr>
      <w:r>
        <w:rPr>
          <w:b/>
          <w:sz w:val="24"/>
          <w:color w:val="0284C7"/>
        </w:rPr>
        <w:t xml:space="preserve">Seguridad de Base: </w:t>
      </w:r>
      <w:r>
        <w:rPr>
          <w:sz w:val="24"/>
          <w:color w:val="1E293B"/>
        </w:rPr>
        <w:t>Si un activista es interceptado por organismos de seguridad, el dispositivo móvil no contiene ningún registro ni lista incautable. La información viaja encriptada directamente al repositorio central del Comando.</w:t>
      </w:r>
    </w:p>
    <w:p>
      <w:pPr>
        <w:pStyle w:val="Heading2"/>
      </w:pPr>
      <w:r>
        <w:t>3. Módulo 3: Padrón Electoral, Tablilla CNE y Validación de Actas QR (/centros-maturin/)</w:t>
      </w:r>
    </w:p>
    <w:p>
      <w:pPr>
        <w:jc w:val="both"/>
        <w:spacing w:line="360" w:after="140"/>
      </w:pPr>
      <w:r>
        <w:rPr>
          <w:sz w:val="24"/>
          <w:color w:val="1E293B"/>
        </w:rPr>
        <w:t>Georreferenciación milimétrica de las 175 escuelas electorales de Maturín y 419.000 electores categorizados bajo semáforo independiente (Voto Duro leal, Voto Blando persuasible y Voto Joven).</w:t>
      </w:r>
    </w:p>
    <w:p>
      <w:pPr>
        <w:jc w:val="both"/>
        <w:spacing w:line="360" w:after="140"/>
      </w:pPr>
      <w:r>
        <w:rPr>
          <w:b/>
          <w:sz w:val="24"/>
          <w:color w:val="0284C7"/>
        </w:rPr>
        <w:t xml:space="preserve">Auditoría Irrefutable: </w:t>
      </w:r>
      <w:r>
        <w:rPr>
          <w:sz w:val="24"/>
          <w:color w:val="1E293B"/>
        </w:rPr>
        <w:t>Incorpora el Escáner de Códigos QR de Actas Oficiales del CNE: el testigo escanea el comprobante impreso por la máquina de votación y el sistema decodifica y totaliza el acta en 2 segundos. Permite a El Gato Briceño tener el conteo paralelo definitivo antes de que el oficialismo intente manipular la transmisión.</w:t>
      </w:r>
    </w:p>
    <w:p>
      <w:pPr>
        <w:pStyle w:val="Heading2"/>
      </w:pPr>
      <w:r>
        <w:t>4. Módulo 4: Cartografía Táctica Satelital 3D y Efecto Velo Blanco (/earth-monagas/)</w:t>
      </w:r>
    </w:p>
    <w:p>
      <w:pPr>
        <w:jc w:val="both"/>
        <w:spacing w:line="360" w:after="140"/>
      </w:pPr>
      <w:r>
        <w:rPr>
          <w:sz w:val="24"/>
          <w:color w:val="1E293B"/>
        </w:rPr>
        <w:t>Consola tridimensional de alta definición construida sobre MapLibre 3D. Diseñada específicamente para optimizar la toma de decisiones de El Gato Briceño y su Estado Mayor, evitando la sobrecarga visual.</w:t>
      </w:r>
    </w:p>
    <w:p>
      <w:pPr>
        <w:jc w:val="both"/>
        <w:spacing w:line="360" w:after="140"/>
      </w:pPr>
      <w:r>
        <w:rPr>
          <w:b/>
          <w:sz w:val="24"/>
          <w:color w:val="0284C7"/>
        </w:rPr>
        <w:t xml:space="preserve">Focalización Táctica: </w:t>
      </w:r>
      <w:r>
        <w:rPr>
          <w:sz w:val="24"/>
          <w:color w:val="1E293B"/>
        </w:rPr>
        <w:t>El algoritmo de 'Velo Blanco' cubre con niebla suave los municipios y parroquias periféricas, iluminando únicamente el territorio bajo análisis. Permite planificar rutas de movilización, monitorear la logística de testigos y calcular tiempos de traslado al segundo.</w:t>
      </w:r>
    </w:p>
    <w:p>
      <w:pPr>
        <w:pStyle w:val="Heading2"/>
      </w:pPr>
      <w:r>
        <w:t>5. Módulo 5: Red Hospitalaria y Auditoría de Servicios Asistenciales (/salud-monagas/)</w:t>
      </w:r>
    </w:p>
    <w:p>
      <w:pPr>
        <w:jc w:val="both"/>
        <w:spacing w:line="360" w:after="140"/>
      </w:pPr>
      <w:r>
        <w:rPr>
          <w:sz w:val="24"/>
          <w:color w:val="1E293B"/>
        </w:rPr>
        <w:t>Monitoreo en tiempo real de los 84 centros asistenciales de Monagas (Hospital Universitario Dr. Manuel Núñez Tovar, ambulatorios urbanos tipo II/III y CDIs).</w:t>
      </w:r>
    </w:p>
    <w:p>
      <w:pPr>
        <w:jc w:val="both"/>
        <w:spacing w:line="360" w:after="140"/>
      </w:pPr>
      <w:r>
        <w:rPr>
          <w:b/>
          <w:sz w:val="24"/>
          <w:color w:val="0284C7"/>
        </w:rPr>
        <w:t xml:space="preserve">Semáforo de Soporte Vital: </w:t>
      </w:r>
      <w:r>
        <w:rPr>
          <w:sz w:val="24"/>
          <w:color w:val="1E293B"/>
        </w:rPr>
        <w:t>Supervisa cinco variables críticas de supervivencia: operatividad de plantas eléctricas, suministro continuo de agua, gases medicinales, quirófanos activos y camas disponibles. Permite documentar técnica y jurídicamente la crisis asistencial, ofreciendo propuestas gerenciales inmediatas y desmontando la propaganda del régimen con datos irrefutables.</w:t>
      </w:r>
    </w:p>
    <w:p>
      <w:pPr>
        <w:pStyle w:val="Heading1"/>
      </w:pPr>
      <w:r>
        <w:t>CAPÍTULO III: CIBERSEGURIDAD, DEFENSAS ACTIVAS Y PROTOCOLO DE HACKING ÉTICO</w:t>
      </w:r>
    </w:p>
    <w:p>
      <w:pPr>
        <w:pStyle w:val="Heading2"/>
      </w:pPr>
      <w:r>
        <w:t>1. Necesidad Imperativa de un Servidor VPS Dedicado Soberano</w:t>
      </w:r>
    </w:p>
    <w:p>
      <w:pPr>
        <w:jc w:val="both"/>
        <w:spacing w:line="360" w:after="140"/>
      </w:pPr>
      <w:r>
        <w:rPr>
          <w:sz w:val="24"/>
          <w:color w:val="1E293B"/>
        </w:rPr>
        <w:t>La dependencia de plataformas gratuitas o servidores compartidos constituye un riesgo de seguridad inaceptable: están sujetas a suspensión arbitraria, no soportan tráfico masivo concurrente el día de las elecciones y exponen los datos a vulnerabilidades ajenas.</w:t>
      </w:r>
    </w:p>
    <w:p>
      <w:pPr>
        <w:jc w:val="both"/>
        <w:spacing w:line="360" w:after="140"/>
      </w:pPr>
      <w:r>
        <w:rPr>
          <w:sz w:val="24"/>
          <w:color w:val="1E293B"/>
        </w:rPr>
        <w:t>Un Servidor Cloud VPS Dedicado garantiza soberanía técnica: cortafuegos configurado a la medida, aislamiento de bases de datos, copias de respaldo automatizadas fuera de línea y ancho de banda garantizado para soportar miles de conexiones simultáneas sin caídas.</w:t>
      </w:r>
    </w:p>
    <w:p>
      <w:pPr>
        <w:pStyle w:val="Heading2"/>
      </w:pPr>
      <w:r>
        <w:t>2. Protocolo de Pentesting y Pruebas de Resistencia al Ataque</w:t>
      </w:r>
    </w:p>
    <w:p>
      <w:pPr>
        <w:jc w:val="both"/>
        <w:spacing w:line="360" w:after="140"/>
      </w:pPr>
      <w:r>
        <w:rPr>
          <w:sz w:val="24"/>
          <w:color w:val="1E293B"/>
        </w:rPr>
        <w:t>Antes de abrir la plataforma a la totalidad de la estructura de base, el equipo técnico someterá el servidor a simulaciones controladas de intrusión (Pentesting Ético): escaneo de puertos vulnerables, pruebas de inyección SQL, simulación de ataques de denegación distribuida de servicio (DDoS) y auditoría de certificados SSL.</w:t>
      </w:r>
    </w:p>
    <w:p>
      <w:pPr>
        <w:jc w:val="both"/>
        <w:spacing w:line="360" w:after="140"/>
      </w:pPr>
      <w:r>
        <w:rPr>
          <w:b/>
          <w:sz w:val="24"/>
          <w:color w:val="0284C7"/>
        </w:rPr>
        <w:t xml:space="preserve">Cero Brechas: </w:t>
      </w:r>
      <w:r>
        <w:rPr>
          <w:sz w:val="24"/>
          <w:color w:val="1E293B"/>
        </w:rPr>
        <w:t>El objetivo es garantizar que ningún actor malicioso u organismo de contrainteligencia pueda hackear el sistema, ralentizar el despacho de órdenes o vulnerar la confidencialidad de la militancia independiente.</w:t>
      </w:r>
    </w:p>
    <w:p>
      <w:pPr>
        <w:pStyle w:val="Heading1"/>
      </w:pPr>
      <w:r>
        <w:t>CAPÍTULO IV: ESTUDIO ECONÓMICO Y PRESUPUESTO MÍNIMO OPERATIVO</w:t>
      </w:r>
    </w:p>
    <w:p>
      <w:pPr>
        <w:pStyle w:val="Heading2"/>
      </w:pPr>
      <w:r>
        <w:t>1. Desglose del Presupuesto Mínimo de Arranque (Fase 1)</w:t>
      </w:r>
    </w:p>
    <w:p>
      <w:pPr>
        <w:jc w:val="both"/>
        <w:spacing w:line="360" w:after="140"/>
      </w:pPr>
      <w:r>
        <w:rPr>
          <w:sz w:val="24"/>
          <w:color w:val="1E293B"/>
        </w:rPr>
        <w:t>El presupuesto solicitado representa el costo estricto de los recursos en la nube indispensables para encender los motores y validar la plataforma con tres parroquias piloto (Las Cocuizas, San Simón y Alto de Los Godos):</w:t>
      </w:r>
    </w:p>
    <w:tbl>
      <w:tblPr>
        <w:tblW w:w="5000" w:type="pct"/>
        <w:tblBorders>
          <w:top w:val="single" w:sz="8" w:color="0284C7"/>
          <w:bottom w:val="single" w:sz="8" w:color="0284C7"/>
          <w:insideH w:val="single" w:sz="4" w:color="E2E8F0"/>
        </w:tblBorders>
      </w:tblPr>
      <w:tr>
        <w:trPr>
          <w:tblHeader/>
        </w:trPr>
        <w:tc>
          <w:tcPr>
            <w:shd w:val="clear" w:color="auto" w:fill="0F172A"/>
          </w:tcPr>
          <w:p>
            <w:pPr>
              <w:spacing w:before="80" w:after="80"/>
              <w:jc w:val="center"/>
            </w:pPr>
            <w:r>
              <w:rPr>
                <w:b/>
                <w:color w:val="FFFFFF"/>
                <w:sz w:val="20"/>
              </w:rPr>
              <w:t>Concepto de Infraestructura</w:t>
            </w:r>
          </w:p>
        </w:tc>
        <w:tc>
          <w:tcPr>
            <w:shd w:val="clear" w:color="auto" w:fill="0F172A"/>
          </w:tcPr>
          <w:p>
            <w:pPr>
              <w:spacing w:before="80" w:after="80"/>
              <w:jc w:val="center"/>
            </w:pPr>
            <w:r>
              <w:rPr>
                <w:b/>
                <w:color w:val="FFFFFF"/>
                <w:sz w:val="20"/>
              </w:rPr>
              <w:t>Especificación Técnica Mínima</w:t>
            </w:r>
          </w:p>
        </w:tc>
        <w:tc>
          <w:tcPr>
            <w:shd w:val="clear" w:color="auto" w:fill="0F172A"/>
          </w:tcPr>
          <w:p>
            <w:pPr>
              <w:spacing w:before="80" w:after="80"/>
              <w:jc w:val="center"/>
            </w:pPr>
            <w:r>
              <w:rPr>
                <w:b/>
                <w:color w:val="FFFFFF"/>
                <w:sz w:val="20"/>
              </w:rPr>
              <w:t>Costo Mensual</w:t>
            </w:r>
          </w:p>
        </w:tc>
        <w:tc>
          <w:tcPr>
            <w:shd w:val="clear" w:color="auto" w:fill="0F172A"/>
          </w:tcPr>
          <w:p>
            <w:pPr>
              <w:spacing w:before="80" w:after="80"/>
              <w:jc w:val="center"/>
            </w:pPr>
            <w:r>
              <w:rPr>
                <w:b/>
                <w:color w:val="FFFFFF"/>
                <w:sz w:val="20"/>
              </w:rPr>
              <w:t>Costo Anual Total</w:t>
            </w:r>
          </w:p>
        </w:tc>
      </w:tr>
      <w:tr>
        <w:tc>
          <w:tcPr>
            <w:shd w:val="clear" w:color="auto" w:fill="FFFFFF"/>
          </w:tcPr>
          <w:p>
            <w:pPr>
              <w:spacing w:before="60" w:after="60"/>
              <w:jc w:val="left"/>
            </w:pPr>
            <w:r>
              <w:rPr>
                <w:sz w:val="20"/>
              </w:rPr>
              <w:t>Servidor Cloud VPS Dedicado</w:t>
            </w:r>
          </w:p>
        </w:tc>
        <w:tc>
          <w:tcPr>
            <w:shd w:val="clear" w:color="auto" w:fill="FFFFFF"/>
          </w:tcPr>
          <w:p>
            <w:pPr>
              <w:spacing w:before="60" w:after="60"/>
              <w:jc w:val="left"/>
            </w:pPr>
            <w:r>
              <w:rPr>
                <w:sz w:val="20"/>
              </w:rPr>
              <w:t>4 vCPU / 8 GB RAM / 100 GB SSD NVMe / Red 1 Gbps (Anti-DDoS)</w:t>
            </w:r>
          </w:p>
        </w:tc>
        <w:tc>
          <w:tcPr>
            <w:shd w:val="clear" w:color="auto" w:fill="FFFFFF"/>
          </w:tcPr>
          <w:p>
            <w:pPr>
              <w:spacing w:before="60" w:after="60"/>
              <w:jc w:val="left"/>
            </w:pPr>
            <w:r>
              <w:rPr>
                <w:sz w:val="20"/>
              </w:rPr>
              <w:t>$20.00 USD</w:t>
            </w:r>
          </w:p>
        </w:tc>
        <w:tc>
          <w:tcPr>
            <w:shd w:val="clear" w:color="auto" w:fill="FFFFFF"/>
          </w:tcPr>
          <w:p>
            <w:pPr>
              <w:spacing w:before="60" w:after="60"/>
              <w:jc w:val="left"/>
            </w:pPr>
            <w:r>
              <w:rPr>
                <w:sz w:val="20"/>
              </w:rPr>
              <w:t>$240.00 USD</w:t>
            </w:r>
          </w:p>
        </w:tc>
      </w:tr>
      <w:tr>
        <w:tc>
          <w:tcPr>
            <w:shd w:val="clear" w:color="auto" w:fill="F8FAFC"/>
          </w:tcPr>
          <w:p>
            <w:pPr>
              <w:spacing w:before="60" w:after="60"/>
              <w:jc w:val="left"/>
            </w:pPr>
            <w:r>
              <w:rPr>
                <w:sz w:val="20"/>
              </w:rPr>
              <w:t>Dominio Institucional Oficial</w:t>
            </w:r>
          </w:p>
        </w:tc>
        <w:tc>
          <w:tcPr>
            <w:shd w:val="clear" w:color="auto" w:fill="F8FAFC"/>
          </w:tcPr>
          <w:p>
            <w:pPr>
              <w:spacing w:before="60" w:after="60"/>
              <w:jc w:val="left"/>
            </w:pPr>
            <w:r>
              <w:rPr>
                <w:sz w:val="20"/>
              </w:rPr>
              <w:t>Registro anual + Certificado SSL Wildcard (HTTPS 256 bits)</w:t>
            </w:r>
          </w:p>
        </w:tc>
        <w:tc>
          <w:tcPr>
            <w:shd w:val="clear" w:color="auto" w:fill="F8FAFC"/>
          </w:tcPr>
          <w:p>
            <w:pPr>
              <w:spacing w:before="60" w:after="60"/>
              <w:jc w:val="left"/>
            </w:pPr>
            <w:r>
              <w:rPr>
                <w:sz w:val="20"/>
              </w:rPr>
              <w:t>$1.50 USD</w:t>
            </w:r>
          </w:p>
        </w:tc>
        <w:tc>
          <w:tcPr>
            <w:shd w:val="clear" w:color="auto" w:fill="F8FAFC"/>
          </w:tcPr>
          <w:p>
            <w:pPr>
              <w:spacing w:before="60" w:after="60"/>
              <w:jc w:val="left"/>
            </w:pPr>
            <w:r>
              <w:rPr>
                <w:sz w:val="20"/>
              </w:rPr>
              <w:t>$18.00 USD</w:t>
            </w:r>
          </w:p>
        </w:tc>
      </w:tr>
      <w:tr>
        <w:tc>
          <w:tcPr>
            <w:shd w:val="clear" w:color="auto" w:fill="FFFFFF"/>
          </w:tcPr>
          <w:p>
            <w:pPr>
              <w:spacing w:before="60" w:after="60"/>
              <w:jc w:val="left"/>
            </w:pPr>
            <w:r>
              <w:rPr>
                <w:sz w:val="20"/>
              </w:rPr>
              <w:t>IP Pública Fija Dedicada</w:t>
            </w:r>
          </w:p>
        </w:tc>
        <w:tc>
          <w:tcPr>
            <w:shd w:val="clear" w:color="auto" w:fill="FFFFFF"/>
          </w:tcPr>
          <w:p>
            <w:pPr>
              <w:spacing w:before="60" w:after="60"/>
              <w:jc w:val="left"/>
            </w:pPr>
            <w:r>
              <w:rPr>
                <w:sz w:val="20"/>
              </w:rPr>
              <w:t>Dirección IP exclusiva para firewall y Sala de Mando</w:t>
            </w:r>
          </w:p>
        </w:tc>
        <w:tc>
          <w:tcPr>
            <w:shd w:val="clear" w:color="auto" w:fill="FFFFFF"/>
          </w:tcPr>
          <w:p>
            <w:pPr>
              <w:spacing w:before="60" w:after="60"/>
              <w:jc w:val="left"/>
            </w:pPr>
            <w:r>
              <w:rPr>
                <w:sz w:val="20"/>
              </w:rPr>
              <w:t>$3.00 USD</w:t>
            </w:r>
          </w:p>
        </w:tc>
        <w:tc>
          <w:tcPr>
            <w:shd w:val="clear" w:color="auto" w:fill="FFFFFF"/>
          </w:tcPr>
          <w:p>
            <w:pPr>
              <w:spacing w:before="60" w:after="60"/>
              <w:jc w:val="left"/>
            </w:pPr>
            <w:r>
              <w:rPr>
                <w:sz w:val="20"/>
              </w:rPr>
              <w:t>$36.00 USD</w:t>
            </w:r>
          </w:p>
        </w:tc>
      </w:tr>
      <w:tr>
        <w:tc>
          <w:tcPr>
            <w:shd w:val="clear" w:color="auto" w:fill="F8FAFC"/>
          </w:tcPr>
          <w:p>
            <w:pPr>
              <w:spacing w:before="60" w:after="60"/>
              <w:jc w:val="left"/>
            </w:pPr>
            <w:r>
              <w:rPr>
                <w:sz w:val="20"/>
              </w:rPr>
              <w:t>Software de Pentesting y Blindaje</w:t>
            </w:r>
          </w:p>
        </w:tc>
        <w:tc>
          <w:tcPr>
            <w:shd w:val="clear" w:color="auto" w:fill="F8FAFC"/>
          </w:tcPr>
          <w:p>
            <w:pPr>
              <w:spacing w:before="60" w:after="60"/>
              <w:jc w:val="left"/>
            </w:pPr>
            <w:r>
              <w:rPr>
                <w:sz w:val="20"/>
              </w:rPr>
              <w:t>Herramientas FOSS de hacking ético, Fail2ban e iptables</w:t>
            </w:r>
          </w:p>
        </w:tc>
        <w:tc>
          <w:tcPr>
            <w:shd w:val="clear" w:color="auto" w:fill="F8FAFC"/>
          </w:tcPr>
          <w:p>
            <w:pPr>
              <w:spacing w:before="60" w:after="60"/>
              <w:jc w:val="left"/>
            </w:pPr>
            <w:r>
              <w:rPr>
                <w:sz w:val="20"/>
              </w:rPr>
              <w:t>$0.00 (Libre)</w:t>
            </w:r>
          </w:p>
        </w:tc>
        <w:tc>
          <w:tcPr>
            <w:shd w:val="clear" w:color="auto" w:fill="F8FAFC"/>
          </w:tcPr>
          <w:p>
            <w:pPr>
              <w:spacing w:before="60" w:after="60"/>
              <w:jc w:val="left"/>
            </w:pPr>
            <w:r>
              <w:rPr>
                <w:sz w:val="20"/>
              </w:rPr>
              <w:t>$0.00 (Incluido)</w:t>
            </w:r>
          </w:p>
        </w:tc>
      </w:tr>
      <w:tr>
        <w:tc>
          <w:tcPr>
            <w:shd w:val="clear" w:color="auto" w:fill="FFFFFF"/>
          </w:tcPr>
          <w:p>
            <w:pPr>
              <w:spacing w:before="60" w:after="60"/>
              <w:jc w:val="left"/>
            </w:pPr>
            <w:r>
              <w:rPr>
                <w:sz w:val="20"/>
              </w:rPr>
              <w:t>TOTAL MÍNIMO SOLICITADO (FASE 1)</w:t>
            </w:r>
          </w:p>
        </w:tc>
        <w:tc>
          <w:tcPr>
            <w:shd w:val="clear" w:color="auto" w:fill="FFFFFF"/>
          </w:tcPr>
          <w:p>
            <w:pPr>
              <w:spacing w:before="60" w:after="60"/>
              <w:jc w:val="left"/>
            </w:pPr>
            <w:r>
              <w:rPr>
                <w:sz w:val="20"/>
              </w:rPr>
              <w:t>Infraestructura lista para pruebas de campo y seguridad</w:t>
            </w:r>
          </w:p>
        </w:tc>
        <w:tc>
          <w:tcPr>
            <w:shd w:val="clear" w:color="auto" w:fill="FFFFFF"/>
          </w:tcPr>
          <w:p>
            <w:pPr>
              <w:spacing w:before="60" w:after="60"/>
              <w:jc w:val="left"/>
            </w:pPr>
            <w:r>
              <w:rPr>
                <w:sz w:val="20"/>
              </w:rPr>
              <w:t>~$24.50 USD / mes</w:t>
            </w:r>
          </w:p>
        </w:tc>
        <w:tc>
          <w:tcPr>
            <w:shd w:val="clear" w:color="auto" w:fill="FFFFFF"/>
          </w:tcPr>
          <w:p>
            <w:pPr>
              <w:spacing w:before="60" w:after="60"/>
              <w:jc w:val="left"/>
            </w:pPr>
            <w:r>
              <w:rPr>
                <w:sz w:val="20"/>
              </w:rPr>
              <w:t>$294.00 USD / AÑO</w:t>
            </w:r>
          </w:p>
        </w:tc>
      </w:tr>
    </w:tbl>
    <w:p>
      <w:pPr>
        <w:pBdr>
          <w:left w:val="single" w:sz="24" w:space="14" w:color="0284C7"/>
        </w:pBdr>
        <w:shd w:val="clear" w:color="auto" w:fill="F0F9FF"/>
        <w:spacing w:line="360" w:before="120" w:after="140"/>
        <w:jc w:val="both"/>
      </w:pPr>
      <w:r>
        <w:rPr>
          <w:i/>
          <w:sz w:val="22"/>
          <w:color w:val="0369A1"/>
        </w:rPr>
        <w:t>«ANÁLISIS DE RETORNO DE INVERSIÓN: En el mercado privado corporativo, el desarrollo desde cero de una plataforma integrada de 5 módulos supera los $25.000 USD. El desarrollo técnico ya fue donado al equipo de El Gato Briceño sin costo alguno. La aprobación de $294 USD anuales cubre el 100% de la infraestructura tecnológica requerida.»</w:t>
      </w:r>
    </w:p>
    <w:p>
      <w:pPr>
        <w:pStyle w:val="Heading2"/>
      </w:pPr>
      <w:r>
        <w:t>2. Planificación por Fases: Fase 1 (Digital) vs. Fase 2 (Física)</w:t>
      </w:r>
    </w:p>
    <w:p>
      <w:pPr>
        <w:jc w:val="both"/>
        <w:spacing w:line="360" w:after="140"/>
      </w:pPr>
      <w:r>
        <w:rPr>
          <w:b/>
          <w:sz w:val="24"/>
          <w:color w:val="0284C7"/>
        </w:rPr>
        <w:t xml:space="preserve">FASE 1: </w:t>
      </w:r>
      <w:r>
        <w:rPr>
          <w:sz w:val="24"/>
          <w:color w:val="1E293B"/>
        </w:rPr>
        <w:t>Fase 1 (Inmediata - Objeto de esta solicitud):</w:t>
      </w:r>
    </w:p>
    <w:p>
      <w:pPr>
        <w:jc w:val="both"/>
        <w:spacing w:line="360" w:after="140"/>
      </w:pPr>
      <w:r>
        <w:rPr>
          <w:sz w:val="24"/>
          <w:color w:val="1E293B"/>
        </w:rPr>
        <w:t>Contratación del VPS, configuración de dominios, despliegue de cortafuegos, test de hacking ético y prueba de estrés con coordinadores de campo. Inversión: $294.00 USD.</w:t>
      </w:r>
    </w:p>
    <w:p>
      <w:pPr>
        <w:jc w:val="both"/>
        <w:spacing w:line="360" w:after="140"/>
      </w:pPr>
      <w:r>
        <w:rPr>
          <w:b/>
          <w:sz w:val="24"/>
          <w:color w:val="0284C7"/>
        </w:rPr>
        <w:t xml:space="preserve">FASE 2: </w:t>
      </w:r>
      <w:r>
        <w:rPr>
          <w:sz w:val="24"/>
          <w:color w:val="1E293B"/>
        </w:rPr>
        <w:t>Fase 2 (Consolidación - A mediano plazo según disponga el Comando):</w:t>
      </w:r>
    </w:p>
    <w:p>
      <w:pPr>
        <w:jc w:val="both"/>
        <w:spacing w:line="360" w:after="140"/>
      </w:pPr>
      <w:r>
        <w:rPr>
          <w:sz w:val="24"/>
          <w:color w:val="1E293B"/>
        </w:rPr>
        <w:t>Equipamiento de la Sala Situacional física de El Gato Briceño: 2 a 3 computadoras de escritorio, pantallas de 55 pulgadas para videowall, sistema de respaldo eléctrico con inversores de corriente y baterías UPS para operar sin interrupciones durante los apagones de Corpoelec, y enlace satelital de respaldo. Su ejecución se programará una vez concluida exitosamente la Fase 1.</w:t>
      </w:r>
    </w:p>
    <w:p>
      <w:pPr>
        <w:pStyle w:val="Heading1"/>
      </w:pPr>
      <w:r>
        <w:t>CAPÍTULO V: CONCLUSIONES, DICTAMEN TÉCNICO Y FIRMAS</w:t>
      </w:r>
    </w:p>
    <w:p>
      <w:pPr>
        <w:jc w:val="both"/>
        <w:spacing w:line="360" w:after="140"/>
      </w:pPr>
      <w:r>
        <w:rPr>
          <w:sz w:val="24"/>
          <w:color w:val="1E293B"/>
        </w:rPr>
        <w:t>1. Viabilidad Técnica Plena: Los cinco módulos de la plataforma MIGATO se encuentran programados, probados y plenamente funcionales.</w:t>
      </w:r>
    </w:p>
    <w:p>
      <w:pPr>
        <w:jc w:val="both"/>
        <w:spacing w:line="360" w:after="140"/>
      </w:pPr>
      <w:r>
        <w:rPr>
          <w:sz w:val="24"/>
          <w:color w:val="1E293B"/>
        </w:rPr>
        <w:t>2. Seguridad Inexpugnable: El protocolo de Buzón Ciego de Cero Bytes y la validación de actas QR blindan la integridad de la militancia y la defensa matemática del voto.</w:t>
      </w:r>
    </w:p>
    <w:p>
      <w:pPr>
        <w:jc w:val="both"/>
        <w:spacing w:line="360" w:after="140"/>
      </w:pPr>
      <w:r>
        <w:rPr>
          <w:sz w:val="24"/>
          <w:color w:val="1E293B"/>
        </w:rPr>
        <w:t>3. Eficiencia de Costos Sobresaliente: Un costo operativo de menos de $25 dólares al mes representa una relación costo-beneficio inigualable para la conducción política regional.</w:t>
      </w:r>
    </w:p>
    <w:p>
      <w:pPr>
        <w:jc w:val="both"/>
        <w:spacing w:line="360" w:after="140"/>
      </w:pPr>
      <w:r>
        <w:rPr>
          <w:b/>
          <w:sz w:val="24"/>
          <w:color w:val="0284C7"/>
        </w:rPr>
        <w:t xml:space="preserve">DICTAMEN FINAL: </w:t>
      </w:r>
      <w:r>
        <w:rPr>
          <w:sz w:val="24"/>
          <w:color w:val="1E293B"/>
        </w:rPr>
        <w:t>Dictamen: Se recomienda al Comando Estratégico la inmediata aprobación y desembolso del monto de $294.00 USD para la contratación de la infraestructura cloud de la Fase 1.</w:t>
      </w:r>
    </w:p>
    <w:p>
      <w:pPr>
        <w:spacing w:before="360"/>
      </w:pPr>
    </w:p>
    <w:tbl>
      <w:tblPr>
        <w:tblW w:w="5000" w:type="pct"/>
        <w:tblBorders>
          <w:top w:val="none"/>
          <w:bottom w:val="none"/>
          <w:left w:val="none"/>
          <w:right w:val="none"/>
          <w:insideH w:val="none"/>
          <w:insideV w:val="none"/>
        </w:tblBorders>
      </w:tblPr>
      <w:tr>
        <w:tc>
          <w:p>
            <w:pPr>
              <w:jc w:val="center"/>
              <w:spacing w:before="350" w:after="30"/>
            </w:pPr>
            <w:r>
              <w:t>__________________________________</w:t>
            </w:r>
          </w:p>
          <w:p>
            <w:pPr>
              <w:jc w:val="center"/>
              <w:spacing w:after="20"/>
            </w:pPr>
            <w:r>
              <w:rPr>
                <w:b/>
                <w:sz w:val="20"/>
                <w:color w:val="0F172A"/>
              </w:rPr>
              <w:t>COMANDO ESTRATÉGICO MIGATO</w:t>
            </w:r>
          </w:p>
          <w:p>
            <w:pPr>
              <w:jc w:val="center"/>
              <w:spacing w:after="20"/>
            </w:pPr>
            <w:r>
              <w:rPr>
                <w:color w:val="64748B"/>
                <w:sz w:val="17"/>
              </w:rPr>
              <w:t>Equipo Político y Territorial de El Gato Briceño</w:t>
            </w:r>
          </w:p>
        </w:tc>
        <w:tc>
          <w:p>
            <w:pPr>
              <w:jc w:val="center"/>
              <w:spacing w:before="350" w:after="30"/>
            </w:pPr>
            <w:r>
              <w:t>__________________________________</w:t>
            </w:r>
          </w:p>
          <w:p>
            <w:pPr>
              <w:jc w:val="center"/>
              <w:spacing w:after="20"/>
            </w:pPr>
            <w:r>
              <w:rPr>
                <w:b/>
                <w:sz w:val="20"/>
                <w:color w:val="0F172A"/>
              </w:rPr>
              <w:t>RESPONSABLE TÉCNICO Y DESARROLLO</w:t>
            </w:r>
          </w:p>
          <w:p>
            <w:pPr>
              <w:jc w:val="center"/>
              <w:spacing w:after="20"/>
            </w:pPr>
            <w:r>
              <w:rPr>
                <w:color w:val="64748B"/>
                <w:sz w:val="17"/>
              </w:rPr>
              <w:t>Equipo de Ingeniería de Sistemas Plataforma MIGATO</w:t>
            </w:r>
          </w:p>
        </w:tc>
      </w:tr>
    </w:tbl>
    <w:sectPr>
      <w:headerReference w:type="first" r:id="rIdHeaderFirst"/>
      <w:headerReference w:type="default" r:id="rIdHeader1"/>
      <w:footerReference w:type="first" r:id="rIdFooterFirst"/>
      <w:footerReference w:type="default" r:id="rIdFooter1"/>
      <w:titlePg/>
      <w:pgSz w:w="12240" w:h="15840"/>
      <w:pgMar w:top="1440" w:right="1440" w:bottom="1440" w:left="1700" w:header="720" w:footer="720" w:gutter="0"/>
    </w:sectPr>
  </w:body>
</w:document>
</file>

<file path=word/footer1.xml><?xml version="1.0" encoding="utf-8"?>
<w:ftr xmlns:w="http://schemas.openxmlformats.org/wordprocessingml/2006/main">
  <w:tbl>
    <w:tblPr>
      <w:tblW w:w="5000" w:type="pct"/>
      <w:tblBorders>
        <w:top w:val="single" w:sz="6" w:space="6" w:color="CBD5E1"/>
        <w:left w:val="none"/>
        <w:bottom w:val="none"/>
        <w:right w:val="none"/>
        <w:insideH w:val="none"/>
        <w:insideV w:val="none"/>
      </w:tblBorders>
    </w:tblPr>
    <w:tr>
      <w:tc>
        <w:tcPr>
          <w:tcW w:w="3400" w:type="pct"/>
        </w:tcPr>
        <w:p>
          <w:pPr>
            <w:jc w:val="left"/>
            <w:spacing w:before="60"/>
          </w:pPr>
          <w:r>
            <w:rPr>
              <w:rFonts w:ascii="Arial"/>
              <w:sz w:val="17"/>
              <w:color w:val="64748B"/>
              <w:i/>
            </w:rPr>
            <w:t>Dictamen Técnico-Estratégico y Presupuesto • Sala de Mando El Gato Briceño</w:t>
          </w:r>
        </w:p>
      </w:tc>
      <w:tc>
        <w:tcPr>
          <w:tcW w:w="1600" w:type="pct"/>
        </w:tcPr>
        <w:p>
          <w:pPr>
            <w:jc w:val="right"/>
            <w:spacing w:before="60"/>
          </w:pPr>
          <w:r>
            <w:rPr>
              <w:rFonts w:ascii="Arial"/>
              <w:sz w:val="17"/>
              <w:color w:val="0F172A"/>
              <w:b/>
            </w:rPr>
            <w:t>Página </w:t>
          </w:r>
          <w:fldSimple w:instr="PAGE"/>
          <w:r>
            <w:rPr>
              <w:rFonts w:ascii="Arial"/>
              <w:sz w:val="17"/>
              <w:color w:val="0F172A"/>
              <w:b/>
            </w:rPr>
            <w:t> de </w:t>
          </w:r>
          <w:fldSimple w:instr="NUMPAGES"/>
        </w:p>
      </w:tc>
    </w:tr>
  </w:tbl>
</w:ftr>
</file>

<file path=word/footer_first.xml><?xml version="1.0" encoding="utf-8"?>
<w:ftr xmlns:w="http://schemas.openxmlformats.org/wordprocessingml/2006/main">
  <w:p/>
</w:ftr>
</file>

<file path=word/header1.xml><?xml version="1.0" encoding="utf-8"?>
<w:hdr xmlns:w="http://schemas.openxmlformats.org/wordprocessingml/2006/main">
  <w:tbl>
    <w:tblPr>
      <w:tblW w:w="5000" w:type="pct"/>
      <w:tblBorders>
        <w:top w:val="none"/>
        <w:left w:val="none"/>
        <w:bottom w:val="single" w:sz="8" w:space="6" w:color="0284C7"/>
        <w:right w:val="none"/>
        <w:insideH w:val="none"/>
        <w:insideV w:val="none"/>
      </w:tblBorders>
    </w:tblPr>
    <w:tr>
      <w:tc>
        <w:tcPr>
          <w:tcW w:w="2800" w:type="pct"/>
        </w:tcPr>
        <w:p>
          <w:pPr>
            <w:jc w:val="left"/>
            <w:spacing w:after="40"/>
          </w:pPr>
          <w:r>
            <w:rPr>
              <w:rFonts w:ascii="Arial"/>
              <w:sz w:val="17"/>
              <w:color w:val="0284C7"/>
              <w:b/>
            </w:rPr>
            <w:t>REPÚBLICA BOLIVARIANA DE VENEZUELA • ESTADO MONAGAS</w:t>
          </w:r>
        </w:p>
      </w:tc>
      <w:tc>
        <w:tcPr>
          <w:tcW w:w="2200" w:type="pct"/>
        </w:tcPr>
        <w:p>
          <w:pPr>
            <w:jc w:val="right"/>
            <w:spacing w:after="40"/>
          </w:pPr>
          <w:r>
            <w:rPr>
              <w:rFonts w:ascii="Arial"/>
              <w:sz w:val="17"/>
              <w:color w:val="0F172A"/>
              <w:b/>
            </w:rPr>
            <w:t>MOVIMIENTO INDEPENDIENTE GANAMOS TODOS (MIGATO)</w:t>
          </w:r>
        </w:p>
      </w:tc>
    </w:tr>
  </w:tbl>
</w:hdr>
</file>

<file path=word/header_first.xml><?xml version="1.0" encoding="utf-8"?>
<w:hdr xmlns:w="http://schemas.openxmlformats.org/wordprocessingml/2006/main">
  <w:p/>
</w:hdr>
</file>

<file path=word/styles.xml><?xml version="1.0" encoding="utf-8"?>
<w:styles xmlns:w="http://schemas.openxmlformats.org/wordprocessingml/2006/main">
  <w:docDefaults>
    <w:rPrDefault>
      <w:rPr>
        <w:rFonts w:ascii="Arial" w:hAnsi="Arial" w:cs="Arial"/>
        <w:sz w:val="24"/>
        <w:szCs w:val="24"/>
        <w:color w:val="0F172A"/>
      </w:rPr>
    </w:rPrDefault>
    <w:pPrDefault>
      <w:pPr>
        <w:spacing w:line="360" w:lineRule="auto" w:after="140"/>
        <w:jc w:val="both"/>
      </w:pPr>
    </w:pPrDefault>
  </w:docDefaults>
  <w:style w:type="paragraph" w:styleId="Heading1">
    <w:name w:val="heading 1"/>
    <w:pPr>
      <w:spacing w:before="360" w:after="140"/>
      <w:jc w:val="left"/>
    </w:pPr>
    <w:rPr>
      <w:rFonts w:ascii="Arial" w:hAnsi="Arial"/>
      <w:b/>
      <w:color w:val="0F172A"/>
      <w:sz w:val="30"/>
    </w:rPr>
  </w:style>
  <w:style w:type="paragraph" w:styleId="Heading2">
    <w:name w:val="heading 2"/>
    <w:pPr>
      <w:spacing w:before="240" w:after="100"/>
      <w:jc w:val="left"/>
    </w:pPr>
    <w:rPr>
      <w:rFonts w:ascii="Arial" w:hAnsi="Arial"/>
      <w:b/>
      <w:color w:val="0284C7"/>
      <w:sz w:val="26"/>
    </w:rPr>
  </w:style>
  <w:style w:type="paragraph" w:styleId="Heading3">
    <w:name w:val="heading 3"/>
    <w:pPr>
      <w:spacing w:before="180" w:after="60"/>
      <w:jc w:val="left"/>
    </w:pPr>
    <w:rPr>
      <w:rFonts w:ascii="Arial" w:hAnsi="Arial"/>
      <w:b/>
      <w:color w:val="0369A1"/>
      <w:sz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HeaderFirst" Type="http://schemas.openxmlformats.org/officeDocument/2006/relationships/header" Target="header_first.xml"/>
  <Relationship Id="rIdFooter1" Type="http://schemas.openxmlformats.org/officeDocument/2006/relationships/footer" Target="footer1.xml"/>
  <Relationship Id="rIdFooterFirst" Type="http://schemas.openxmlformats.org/officeDocument/2006/relationships/footer" Target="footer_first.xml"/>
  <Relationship Id="rIdLogo" Type="http://schemas.openxmlformats.org/officeDocument/2006/relationships/image" Target="media/logo.png"/>
</Relationships>
</file>