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_first.xml" ContentType="application/vnd.openxmlformats-officedocument.wordprocessingml.header+xml"/>
  <Override PartName="/word/footer_first.xml" ContentType="application/vnd.openxmlformats-officedocument.wordprocessingml.footer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1"/>
          <w:szCs w:val="21"/>
        </w:rPr>
        <w:t>REPÚBLICA BOLIVARIANA DE VENEZUELA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1"/>
          <w:szCs w:val="21"/>
        </w:rPr>
        <w:t>MOVIMIENTO INDEPENDIENTE GANAMOS TODOS (MIGATO)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1"/>
          <w:szCs w:val="21"/>
        </w:rPr>
        <w:t>EQUIPO TÉCNICO REGIONAL DE INFORMÁTICA Y SISTEMAS</w:t>
      </w:r>
    </w:p>
    <w:p>
      <w:pPr>
        <w:spacing w:before="0" w:after="0" w:line="240" w:lineRule="auto"/>
        <w:jc w:val="center"/>
      </w:pPr>
      <w:r>
        <w:rPr>
          <w:rFonts w:ascii="Times New Roman" w:hAnsi="Times New Roman"/>
          <w:b/>
          <w:sz w:val="21"/>
          <w:szCs w:val="21"/>
        </w:rPr>
        <w:t>MATURÍN, ESTADO MONAGAS</w:t>
      </w:r>
    </w:p>
    <w:p>
      <w:pPr>
        <w:spacing w:before="0" w:after="60" w:line="240" w:lineRule="auto"/>
      </w:pPr>
    </w:p>
    <w:p>
      <w:pPr>
        <w:spacing w:before="100" w:after="100" w:line="240" w:lineRule="auto"/>
        <w:jc w:val="center"/>
      </w:pPr>
      <w:r>
        <w:drawing>
          <wp:inline distT="0" distB="0" distL="0" distR="0">
            <wp:extent cx="1450000" cy="1415000"/>
            <wp:docPr id="1" name="Logo MIGATO"/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Logo"/>
                    <a:stretch>
                      <a:fillRect/>
                    </a:stretch>
                  </pic:blipFill>
                  <pic:spPr>
                    <a:xfrm>
                      <a:off x="0" y="0"/>
                      <a:ext cx="1450000" cy="141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</w:pPr>
    </w:p>
    <w:p>
      <w:pPr>
        <w:spacing w:before="140" w:after="80" w:line="280" w:lineRule="auto"/>
        <w:jc w:val="center"/>
      </w:pPr>
      <w:r>
        <w:rPr>
          <w:rFonts w:ascii="Times New Roman" w:hAnsi="Times New Roman"/>
          <w:b/>
          <w:sz w:val="25"/>
          <w:szCs w:val="25"/>
        </w:rPr>
        <w:t>PROPUESTA TÉCNICA Y PRESUPUESTO ESTIMADO DE EQUIPAMIENTO FÍSICO: SALA SITUACIONAL MATURÍN</w:t>
      </w:r>
    </w:p>
    <w:p>
      <w:pPr>
        <w:spacing w:before="30" w:after="140" w:line="250" w:lineRule="auto"/>
        <w:jc w:val="center"/>
      </w:pPr>
      <w:r>
        <w:rPr>
          <w:rFonts w:ascii="Times New Roman" w:hAnsi="Times New Roman"/>
          <w:sz w:val="21"/>
          <w:szCs w:val="21"/>
        </w:rPr>
        <w:t>Informe Técnico-Económico de Dotación de Cómputo, Almacenamiento Local RAID 1, Electrónica de Red y Respaldo Eléctrico para la Plataforma Electoral MIGATO 2026</w:t>
      </w:r>
    </w:p>
    <w:p>
      <w:pPr>
        <w:spacing w:before="0" w:after="100" w:line="240" w:lineRule="auto"/>
      </w:pPr>
    </w:p>
    <w:p>
      <w:pPr>
        <w:spacing w:before="80" w:after="20" w:line="240" w:lineRule="auto"/>
        <w:ind w:left="3800"/>
        <w:jc w:val="left"/>
      </w:pPr>
      <w:r>
        <w:rPr>
          <w:rFonts w:ascii="Times New Roman" w:hAnsi="Times New Roman"/>
          <w:b/>
          <w:sz w:val="21"/>
        </w:rPr>
        <w:t>Elaborado por:</w:t>
      </w:r>
    </w:p>
    <w:p>
      <w:pPr>
        <w:spacing w:before="0" w:after="15" w:line="240" w:lineRule="auto"/>
        <w:ind w:left="3800"/>
        <w:jc w:val="left"/>
      </w:pPr>
      <w:r>
        <w:rPr>
          <w:rFonts w:ascii="Times New Roman" w:hAnsi="Times New Roman"/>
          <w:sz w:val="21"/>
        </w:rPr>
        <w:t>Equipo Técnico Regional de Sistemas e Informática</w:t>
      </w:r>
    </w:p>
    <w:p>
      <w:pPr>
        <w:spacing w:before="0" w:after="50" w:line="240" w:lineRule="auto"/>
        <w:ind w:left="3800"/>
        <w:jc w:val="left"/>
      </w:pPr>
      <w:r>
        <w:rPr>
          <w:rFonts w:ascii="Times New Roman" w:hAnsi="Times New Roman"/>
          <w:sz w:val="21"/>
        </w:rPr>
        <w:t>Ing. Diego Donado • Ciencia y Tecnología MIGATO</w:t>
      </w:r>
    </w:p>
    <w:p>
      <w:pPr>
        <w:spacing w:before="0" w:after="80" w:line="240" w:lineRule="auto"/>
      </w:pPr>
    </w:p>
    <w:p>
      <w:pPr>
        <w:spacing w:before="120" w:after="0" w:line="240" w:lineRule="auto"/>
        <w:jc w:val="center"/>
      </w:pPr>
      <w:r>
        <w:rPr>
          <w:rFonts w:ascii="Times New Roman" w:hAnsi="Times New Roman"/>
          <w:b/>
          <w:sz w:val="22"/>
        </w:rPr>
        <w:t>Maturín, septiembre de 2026</w:t>
      </w:r>
    </w:p>
    <w:p>
      <w:r>
        <w:br w:type="page"/>
      </w:r>
    </w:p>
    <w:p>
      <w:pPr>
        <w:spacing w:before="10" w:after="8" w:line="240" w:lineRule="auto"/>
        <w:jc w:val="center"/>
      </w:pPr>
      <w:r>
        <w:rPr>
          <w:rFonts w:ascii="Times New Roman" w:hAnsi="Times New Roman"/>
          <w:b/>
          <w:sz w:val="22"/>
          <w:szCs w:val="22"/>
        </w:rPr>
        <w:t>INTRODUCCIÓN Y PREMISAS DE INSTALACIÓN</w:t>
      </w:r>
    </w:p>
    <w:p>
      <w:pPr>
        <w:spacing w:before="0" w:after="12" w:line="260" w:lineRule="auto"/>
        <w:ind w:firstLine="567"/>
        <w:jc w:val="both"/>
      </w:pPr>
      <w:r>
        <w:rPr>
          <w:rFonts w:ascii="Times New Roman" w:hAnsi="Times New Roman"/>
          <w:sz w:val="21"/>
          <w:szCs w:val="21"/>
        </w:rPr>
        <w:t xml:space="preserve">El presente informe técnico-económico tiene como propósito someter a consideración de la directiva regional del Movimiento Independiente Ganamos Todos (MIGATO) y el comando de campaña de José Gregorio "El Gato" Briceño el presupuesto estimado de dotación física, instalación y puesta en marcha de la Sala Situacional de Maturín. Premisa Operativa de Alcance: La propuesta se circunscribe de manera estricta a la dotación de hardware de cómputo, almacenamiento masivo redundante en espejo (RAID 1), conmutación de red estructurada y respaldo eléctrico. Se asume como premisa que la sede central ya dispone del área de centro de cómputo, rack de comunicaciones y acometida eléctrica operativa. En caso de que la dirección requiera adecuaciones civiles complementarias (suministro de racks de piso adicionales, marquesinas de tendido perimetral o cableado de potencia), estas se canalizarán en un anexo independiente, al igual que los servicios en la nube (Cloud VPS, dominios y telefonía IP) que cuentan con su respectivo presupuesto especializado.</w:t>
      </w:r>
    </w:p>
    <w:p>
      <w:pPr>
        <w:spacing w:before="8" w:after="6" w:line="240" w:lineRule="auto"/>
        <w:jc w:val="center"/>
      </w:pPr>
      <w:r>
        <w:rPr>
          <w:rFonts w:ascii="Times New Roman" w:hAnsi="Times New Roman"/>
          <w:b/>
          <w:sz w:val="22"/>
          <w:szCs w:val="22"/>
        </w:rPr>
        <w:t>1. DESGLOSE PRESUPUESTARIO DE EQUIPAMIENTO FÍSICO</w:t>
      </w:r>
    </w:p>
    <w:p>
      <w:pPr>
        <w:spacing w:before="0" w:after="8" w:line="260" w:lineRule="auto"/>
        <w:ind w:firstLine="567"/>
        <w:jc w:val="both"/>
      </w:pPr>
      <w:r>
        <w:rPr>
          <w:rFonts w:ascii="Times New Roman" w:hAnsi="Times New Roman"/>
          <w:sz w:val="21"/>
          <w:szCs w:val="21"/>
        </w:rPr>
        <w:t xml:space="preserve">Se descarta el uso de servidores industriales antiguos de rack (Dell PowerEdge) por su alto consumo eléctrico (300W a 500W), ruido y rápida descarga de baterías. En su lugar, se implementa una estación de trabajo Dell OptiPlex Core i7 de alta eficiencia energética (65W) con almacenamiento simétrico en estado sólido. A continuación se detalla el presupuesto estimado con base en valores referenciales del mercado tecnológico nacional:</w:t>
      </w:r>
    </w:p>
    <w:tbl>
      <w:tblPr>
        <w:tblW w:w="0" w:type="auto"/>
        <w:jc w:val="center"/>
        <w:tblBorders>
          <w:top w:val="single" w:sz="6" w:space="0" w:color="000000"/>
          <w:left w:val="none"/>
          <w:bottom w:val="single" w:sz="6" w:space="0" w:color="000000"/>
          <w:right w:val="none"/>
          <w:insideH w:val="single" w:sz="4" w:space="0" w:color="CCCCCC"/>
          <w:insideV w:val="none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00"/>
        <w:gridCol w:w="2400"/>
        <w:gridCol w:w="3800"/>
        <w:gridCol w:w="600"/>
        <w:gridCol w:w="1100"/>
        <w:gridCol w:w="1300"/>
      </w:tblGrid>
      <w:tr>
        <w:trPr>
          <w:tblHeader/>
        </w:trPr>
        <w:tc>
          <w:tcPr>
            <w:tcW w:w="400" w:type="dxa"/>
            <w:shd w:val="clear" w:color="auto" w:fill="EAEAEA"/>
          </w:tcPr>
          <w:p>
            <w:pPr>
              <w:spacing w:before="10" w:after="10" w:line="22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N°</w:t>
            </w:r>
          </w:p>
        </w:tc>
        <w:tc>
          <w:tcPr>
            <w:tcW w:w="2400" w:type="dxa"/>
            <w:shd w:val="clear" w:color="auto" w:fill="EAEAEA"/>
          </w:tcPr>
          <w:p>
            <w:pPr>
              <w:spacing w:before="10" w:after="10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Equipo / Dispositivo</w:t>
            </w:r>
          </w:p>
        </w:tc>
        <w:tc>
          <w:tcPr>
            <w:tcW w:w="3800" w:type="dxa"/>
            <w:shd w:val="clear" w:color="auto" w:fill="EAEAEA"/>
          </w:tcPr>
          <w:p>
            <w:pPr>
              <w:spacing w:before="10" w:after="10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Especificación Técnica Real</w:t>
            </w:r>
          </w:p>
        </w:tc>
        <w:tc>
          <w:tcPr>
            <w:tcW w:w="600" w:type="dxa"/>
            <w:shd w:val="clear" w:color="auto" w:fill="EAEAEA"/>
          </w:tcPr>
          <w:p>
            <w:pPr>
              <w:spacing w:before="10" w:after="10" w:line="22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Cant.</w:t>
            </w:r>
          </w:p>
        </w:tc>
        <w:tc>
          <w:tcPr>
            <w:tcW w:w="1100" w:type="dxa"/>
            <w:shd w:val="clear" w:color="auto" w:fill="EAEAEA"/>
          </w:tcPr>
          <w:p>
            <w:pPr>
              <w:spacing w:before="10" w:after="10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Ref. Unit.</w:t>
            </w:r>
          </w:p>
        </w:tc>
        <w:tc>
          <w:tcPr>
            <w:tcW w:w="1300" w:type="dxa"/>
            <w:shd w:val="clear" w:color="auto" w:fill="EAEAEA"/>
          </w:tcPr>
          <w:p>
            <w:pPr>
              <w:spacing w:before="10" w:after="10" w:line="22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>Total Estimado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Computador Servidor Dell OptiPlex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Core i7-6700 (3.40 GHz), 8 GB RAM DDR4 (expandible), chasis SFF silencioso (65W)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$215,00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$215,00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Discos Sólidos SSD 480GB (RAID 1)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2x SSD SATA 2.5" 480GB WD Green en Espejo simétrico (Sistema y Base de Datos)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2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$109,99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$219,98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3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Router Gateway MikroTik hEX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MikroTik RB750Gr3 (Dual Core 880MHz, 5 Puertos Gigabit). Firewall y gestión de tráfico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$105,00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$105,00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4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Switch Gigabit de Sala (16 Puertos)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TP-Link TL-SG1016D 16 Puertos 10/100/1000 Mbps chasis metálico para distribución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$99,96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$99,96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5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Bobina Cable UTP Cat6 (305 metros)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Bobina 305m Cat6 STC interior 100% cobre para cableado estructurado de puestos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$72,99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$72,99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6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Conectores RJ45 Cat6 (Caja 100 un.)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Conectores RJ45 Cat6 con contactos dorados de alta conductividad para patch cords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$6,62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$6,62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7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Kit de Herramientas de Red UTP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Kit completo: ponchadora/crimpeadora RJ45-RJ11 + tester UTP probador de cable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$12,50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$12,50 USD</w:t>
            </w:r>
          </w:p>
        </w:tc>
      </w:tr>
      <w:tr>
        <w:tc>
          <w:tcPr>
            <w:tcW w:w="4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8</w:t>
            </w:r>
          </w:p>
        </w:tc>
        <w:tc>
          <w:tcPr>
            <w:tcW w:w="24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UPS de Respaldo Eléctrico 1.200 VA</w:t>
            </w:r>
          </w:p>
        </w:tc>
        <w:tc>
          <w:tcPr>
            <w:tcW w:w="3800" w:type="dxa"/>
            <w:shd w:val="clear" w:color="auto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sz w:val="17"/>
              </w:rPr>
              <w:t>UPS Epcom EPU1200LCD 1.200 VA con pantalla digital interactiva y regulador AVR</w:t>
            </w:r>
          </w:p>
        </w:tc>
        <w:tc>
          <w:tcPr>
            <w:tcW w:w="600" w:type="dxa"/>
            <w:shd w:val="clear" w:color="auto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sz w:val="17"/>
              </w:rPr>
              <w:t>1</w:t>
            </w:r>
          </w:p>
        </w:tc>
        <w:tc>
          <w:tcPr>
            <w:tcW w:w="11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$130,41</w:t>
            </w:r>
          </w:p>
        </w:tc>
        <w:tc>
          <w:tcPr>
            <w:tcW w:w="1300" w:type="dxa"/>
            <w:shd w:val="clear" w:color="auto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sz w:val="17"/>
              </w:rPr>
              <w:t>$130,41 USD</w:t>
            </w:r>
          </w:p>
        </w:tc>
      </w:tr>
      <w:tr>
        <w:tc>
          <w:tcPr>
            <w:tcW w:w="400" w:type="dxa"/>
            <w:shd w:val="clear" w:color="auto" w:fill="F5F5F5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—</w:t>
            </w:r>
          </w:p>
        </w:tc>
        <w:tc>
          <w:tcPr>
            <w:tcW w:w="2400" w:type="dxa"/>
            <w:shd w:val="clear" w:color="auto" w:fill="F5F5F5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TOTAL EQUIPAMIENTO FÍSICO</w:t>
            </w:r>
          </w:p>
        </w:tc>
        <w:tc>
          <w:tcPr>
            <w:tcW w:w="3800" w:type="dxa"/>
            <w:shd w:val="clear" w:color="auto" w:fill="F5F5F5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Dotación completa de cómputo, almacenamiento RAID 1, red y respaldo eléctrico</w:t>
            </w:r>
          </w:p>
        </w:tc>
        <w:tc>
          <w:tcPr>
            <w:tcW w:w="600" w:type="dxa"/>
            <w:shd w:val="clear" w:color="auto" w:fill="F5F5F5"/>
          </w:tcPr>
          <w:p>
            <w:pPr>
              <w:spacing w:before="6" w:after="6" w:line="220" w:lineRule="auto"/>
              <w:jc w:val="center"/>
            </w:pPr>
            <w:r>
              <w:rPr>
                <w:rFonts w:ascii="Times New Roman" w:hAnsi="Times New Roman"/>
                <w:b/>
                <w:sz w:val="17"/>
              </w:rPr>
              <w:t>—</w:t>
            </w:r>
          </w:p>
        </w:tc>
        <w:tc>
          <w:tcPr>
            <w:tcW w:w="1100" w:type="dxa"/>
            <w:shd w:val="clear" w:color="auto" w:fill="F5F5F5"/>
          </w:tcPr>
          <w:p>
            <w:pPr>
              <w:spacing w:before="6" w:after="6" w:line="220" w:lineRule="auto"/>
              <w:jc w:val="left"/>
            </w:pPr>
            <w:r>
              <w:rPr>
                <w:rFonts w:ascii="Times New Roman" w:hAnsi="Times New Roman"/>
                <w:b/>
                <w:sz w:val="17"/>
              </w:rPr>
              <w:t>—</w:t>
            </w:r>
          </w:p>
        </w:tc>
        <w:tc>
          <w:tcPr>
            <w:tcW w:w="1300" w:type="dxa"/>
            <w:shd w:val="clear" w:color="auto" w:fill="F5F5F5"/>
          </w:tcPr>
          <w:p>
            <w:pPr>
              <w:spacing w:before="6" w:after="6" w:line="220" w:lineRule="auto"/>
              <w:jc w:val="right"/>
            </w:pPr>
            <w:r>
              <w:rPr>
                <w:rFonts w:ascii="Times New Roman" w:hAnsi="Times New Roman"/>
                <w:b/>
                <w:sz w:val="17"/>
              </w:rPr>
              <w:t>$862,46 USD</w:t>
            </w:r>
          </w:p>
        </w:tc>
      </w:tr>
    </w:tbl>
    <w:p>
      <w:pPr>
        <w:spacing w:before="6" w:after="20" w:line="200" w:lineRule="auto"/>
        <w:jc w:val="both"/>
      </w:pPr>
      <w:r>
        <w:rPr>
          <w:rFonts w:ascii="Times New Roman" w:hAnsi="Times New Roman"/>
          <w:i/>
          <w:sz w:val="16"/>
          <w:szCs w:val="16"/>
          <w:color w:val="444444"/>
        </w:rPr>
        <w:t>* Nota de Presupuesto: Los valores reflejados corresponden a un presupuesto estimativo con precios referenciales de mercado y no constituyen una cotización formal ni oferta comercial vinculante de un proveedor en específico. Placa OptiPlex 5040 posee 1 slot M.2 y 2 puertos SATA III; para RAID 1 simétrico estable sin recalentamiento en SFF, se emplean dos discos SSD SATA nativos.</w:t>
      </w:r>
    </w:p>
    <w:p>
      <w:r>
        <w:br w:type="page"/>
      </w:r>
    </w:p>
    <w:p>
      <w:pPr>
        <w:spacing w:before="10" w:after="15" w:line="240" w:lineRule="auto"/>
        <w:jc w:val="center"/>
      </w:pPr>
      <w:r>
        <w:rPr>
          <w:rFonts w:ascii="Times New Roman" w:hAnsi="Times New Roman"/>
          <w:b/>
          <w:sz w:val="22"/>
          <w:szCs w:val="22"/>
        </w:rPr>
        <w:t>3. ARQUITECTURA DE LA BÓVEDA LOCAL DE DATOS (DATA VAULT)</w:t>
      </w:r>
    </w:p>
    <w:p>
      <w:pPr>
        <w:spacing w:before="0" w:after="12" w:line="260" w:lineRule="auto"/>
        <w:ind w:firstLine="567"/>
        <w:jc w:val="both"/>
      </w:pPr>
      <w:r>
        <w:rPr>
          <w:rFonts w:ascii="Times New Roman" w:hAnsi="Times New Roman"/>
          <w:sz w:val="21"/>
          <w:szCs w:val="21"/>
        </w:rPr>
        <w:t xml:space="preserve">Para garantizar que el comando de campaña disponga de una infraestructura resiliente, inconfiscable e inmune a contingencias externas, el despliegue físico se fundamenta en cuatro pilares de ingeniería:</w:t>
      </w:r>
    </w:p>
    <w:p>
      <w:pPr>
        <w:spacing w:before="0" w:after="10" w:line="250" w:lineRule="auto"/>
        <w:ind w:left="360" w:hanging="360"/>
        <w:jc w:val="both"/>
      </w:pPr>
      <w:r>
        <w:rPr>
          <w:rFonts w:ascii="Times New Roman" w:hAnsi="Times New Roman"/>
          <w:b/>
          <w:sz w:val="20"/>
        </w:rPr>
        <w:t xml:space="preserve">• 1. Procesamiento Local Autónomo de Alta Velocidad: </w:t>
      </w:r>
      <w:r>
        <w:rPr>
          <w:rFonts w:ascii="Times New Roman" w:hAnsi="Times New Roman"/>
          <w:sz w:val="20"/>
        </w:rPr>
        <w:t xml:space="preserve">La estación Dell OptiPlex Core i7 con 8 GB de memoria RAM DDR4 procesa localmente la cartografía electoral, el padrón de electores de Monagas y los tableros analíticos en pantallas de sala con tiempos de respuesta inmediatos y sin saturar el enlace de datos.</w:t>
      </w:r>
    </w:p>
    <w:p>
      <w:pPr>
        <w:spacing w:before="0" w:after="10" w:line="250" w:lineRule="auto"/>
        <w:ind w:left="360" w:hanging="360"/>
        <w:jc w:val="both"/>
      </w:pPr>
      <w:r>
        <w:rPr>
          <w:rFonts w:ascii="Times New Roman" w:hAnsi="Times New Roman"/>
          <w:b/>
          <w:sz w:val="20"/>
        </w:rPr>
        <w:t xml:space="preserve">• 2. Bóveda Física en Espejo (Arreglo RAID 1): </w:t>
      </w:r>
      <w:r>
        <w:rPr>
          <w:rFonts w:ascii="Times New Roman" w:hAnsi="Times New Roman"/>
          <w:sz w:val="20"/>
        </w:rPr>
        <w:t xml:space="preserve">Toda información de mesas, electores y actas se graba de forma redundante y simultánea en dos discos de estado sólido independientes. Si cualquiera de las unidades sufriera un daño mecánico o lógico, el sistema continúa operando sin interrupción ni pérdida de un solo registro.</w:t>
      </w:r>
    </w:p>
    <w:p>
      <w:pPr>
        <w:spacing w:before="0" w:after="10" w:line="250" w:lineRule="auto"/>
        <w:ind w:left="360" w:hanging="360"/>
        <w:jc w:val="both"/>
      </w:pPr>
      <w:r>
        <w:rPr>
          <w:rFonts w:ascii="Times New Roman" w:hAnsi="Times New Roman"/>
          <w:b/>
          <w:sz w:val="20"/>
        </w:rPr>
        <w:t xml:space="preserve">• 3. Electrónica de Red Segura y Segmentada: </w:t>
      </w:r>
      <w:r>
        <w:rPr>
          <w:rFonts w:ascii="Times New Roman" w:hAnsi="Times New Roman"/>
          <w:sz w:val="20"/>
        </w:rPr>
        <w:t xml:space="preserve">El router profesional MikroTik hEX administra la seguridad perimetral de la sala y prioriza el ancho de banda para las computadoras de digitación de actas, mientras que el switch Gigabit de 16 puertos interconecta de forma cableada y estable los puestos de trabajo.</w:t>
      </w:r>
    </w:p>
    <w:p>
      <w:pPr>
        <w:spacing w:before="0" w:after="18" w:line="250" w:lineRule="auto"/>
        <w:ind w:left="360" w:hanging="360"/>
        <w:jc w:val="both"/>
      </w:pPr>
      <w:r>
        <w:rPr>
          <w:rFonts w:ascii="Times New Roman" w:hAnsi="Times New Roman"/>
          <w:b/>
          <w:sz w:val="20"/>
        </w:rPr>
        <w:t xml:space="preserve">• 4. Respaldo Energético Crítico ante Apagones: </w:t>
      </w:r>
      <w:r>
        <w:rPr>
          <w:rFonts w:ascii="Times New Roman" w:hAnsi="Times New Roman"/>
          <w:sz w:val="20"/>
        </w:rPr>
        <w:t xml:space="preserve">El UPS de 1.200 VA con regulador automático de voltaje (AVR) garantiza una ventana de autonomía de 45 a 60 minutos para el servidor y la electrónica de red durante cortes de energía, permitiendo mantener la sala operativa y protegiendo el equipamiento contra fluctuaciones de corriente.</w:t>
      </w:r>
    </w:p>
    <w:p>
      <w:pPr>
        <w:spacing w:before="15" w:after="10" w:line="240" w:lineRule="auto"/>
        <w:jc w:val="center"/>
      </w:pPr>
      <w:r>
        <w:rPr>
          <w:rFonts w:ascii="Times New Roman" w:hAnsi="Times New Roman"/>
          <w:b/>
          <w:sz w:val="22"/>
          <w:szCs w:val="22"/>
        </w:rPr>
        <w:t>4. RECOMENDACIÓN FINAL Y DECISIÓN</w:t>
      </w:r>
    </w:p>
    <w:p>
      <w:pPr>
        <w:spacing w:before="0" w:after="25" w:line="260" w:lineRule="auto"/>
        <w:ind w:firstLine="567"/>
        <w:jc w:val="both"/>
      </w:pPr>
      <w:r>
        <w:rPr>
          <w:rFonts w:ascii="Times New Roman" w:hAnsi="Times New Roman"/>
          <w:sz w:val="21"/>
          <w:szCs w:val="21"/>
        </w:rPr>
        <w:t xml:space="preserve">Se recomienda formalmente a la dirección política del partido la aprobación del presupuesto estimado de $862,46 USD para la dotación e instalación del equipamiento físico de la Sala Situacional de Maturín. Esta inversión dotará a MIGATO de un centro de cómputo robusto, eficiente y bajo control 100% propio. Nota de Seguridad: El sistema de cámaras de videovigilancia (CCTV) se presupuestará por separado según lo acordado; no obstante, el switch de 16 puertos, la bobina Cat6 y el kit de herramientas presupuestados en este informe dejan instalados los puntos de red requeridos.</w:t>
      </w:r>
    </w:p>
    <w:p>
      <w:pPr>
        <w:spacing w:before="15" w:after="20" w:line="240" w:lineRule="auto"/>
        <w:jc w:val="center"/>
      </w:pPr>
      <w:r>
        <w:rPr>
          <w:rFonts w:ascii="Times New Roman" w:hAnsi="Times New Roman"/>
          <w:b/>
          <w:sz w:val="22"/>
          <w:szCs w:val="22"/>
        </w:rPr>
        <w:t>5. CONFORMIDAD Y FIRMAS AUTORIZADAS</w:t>
      </w:r>
    </w:p>
    <w:tbl>
      <w:tblPr>
        <w:tblW w:w="8260" w:type="dxa"/>
        <w:jc w:val="center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130"/>
        <w:gridCol w:w="4130"/>
      </w:tblGrid>
      <w:tr>
        <w:tc>
          <w:tcPr>
            <w:tcW w:w="4130" w:type="dxa"/>
          </w:tcPr>
          <w:p>
            <w:pPr>
              <w:spacing w:before="120" w:after="15" w:line="240" w:lineRule="auto"/>
              <w:jc w:val="center"/>
            </w:pPr>
            <w:r>
              <w:t>_______________________________________</w:t>
            </w:r>
          </w:p>
          <w:p>
            <w:pPr>
              <w:spacing w:before="0" w:after="1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  <w:color w:val="000000"/>
              </w:rPr>
              <w:t>COMANDO ESTRATÉGICO MIGATO</w:t>
            </w:r>
          </w:p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/>
                <w:sz w:val="15"/>
                <w:color w:val="555555"/>
              </w:rPr>
              <w:t>Dirección de Operaciones • El Gato Briceño</w:t>
            </w:r>
          </w:p>
        </w:tc>
        <w:tc>
          <w:tcPr>
            <w:tcW w:w="4130" w:type="dxa"/>
          </w:tcPr>
          <w:p>
            <w:pPr>
              <w:spacing w:before="120" w:after="15" w:line="240" w:lineRule="auto"/>
              <w:jc w:val="center"/>
            </w:pPr>
            <w:r>
              <w:t>_______________________________________</w:t>
            </w:r>
          </w:p>
          <w:p>
            <w:pPr>
              <w:spacing w:before="0" w:after="10" w:line="240" w:lineRule="auto"/>
              <w:jc w:val="center"/>
            </w:pPr>
            <w:r>
              <w:rPr>
                <w:rFonts w:ascii="Times New Roman" w:hAnsi="Times New Roman"/>
                <w:b/>
                <w:sz w:val="19"/>
                <w:color w:val="000000"/>
              </w:rPr>
              <w:t>ING. DIEGO DONADO</w:t>
            </w:r>
          </w:p>
          <w:p>
            <w:pPr>
              <w:spacing w:before="0" w:after="0" w:line="200" w:lineRule="auto"/>
              <w:jc w:val="center"/>
            </w:pPr>
            <w:r>
              <w:rPr>
                <w:rFonts w:ascii="Times New Roman" w:hAnsi="Times New Roman"/>
                <w:sz w:val="15"/>
                <w:color w:val="555555"/>
              </w:rPr>
              <w:t>Responsable de Ciencia y Tecnología MIGATO</w:t>
            </w:r>
          </w:p>
        </w:tc>
      </w:tr>
    </w:tbl>
    <w:sectPr>
      <w:headerReference w:type="first" r:id="rIdHeaderFirst"/>
      <w:headerReference w:type="default" r:id="rIdHeader1"/>
      <w:footerReference w:type="first" r:id="rIdFooterFirst"/>
      <w:footerReference w:type="default" r:id="rIdFooter1"/>
      <w:titlePg/>
      <w:pgSz w:w="12240" w:h="15840"/>
      <w:pgMar w:top="1440" w:right="1440" w:bottom="1440" w:left="1700" w:header="720" w:footer="720" w:gutter="0"/>
    </w:sectPr>
  </w:body>
</w:document>
</file>

<file path=word/footer1.xml><?xml version="1.0" encoding="utf-8"?>
<w:ftr xmlns:w="http://schemas.openxmlformats.org/wordprocessingml/2006/main">
  <w:p>
    <w:pPr>
      <w:jc w:val="center"/>
      <w:spacing w:before="60" w:after="0" w:line="240" w:lineRule="auto"/>
    </w:pPr>
    <w:r>
      <w:rPr>
        <w:rFonts w:ascii="Times New Roman" w:hAnsi="Times New Roman"/>
        <w:sz w:val="14"/>
        <w:color w:val="777777"/>
      </w:rPr>
      <w:t>Sala Situacional El Gato Briceño • Maturín, Estado Monagas</w:t>
    </w:r>
  </w:p>
</w:ftr>
</file>

<file path=word/footer_first.xml><?xml version="1.0" encoding="utf-8"?>
<w:ftr xmlns:w="http://schemas.openxmlformats.org/wordprocessingml/2006/main">
  <w:p>
    <w:pPr>
      <w:jc w:val="center"/>
    </w:pPr>
  </w:p>
</w:ftr>
</file>

<file path=word/header1.xml><?xml version="1.0" encoding="utf-8"?>
<w:hd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tbl>
    <w:tblPr>
      <w:tblW w:w="8260" w:type="dxa"/>
      <w:jc w:val="center"/>
      <w:tblBorders>
        <w:top w:val="none"/>
        <w:left w:val="none"/>
        <w:bottom w:val="single" w:sz="6" w:space="0" w:color="D1D5DB"/>
        <w:right w:val="none"/>
        <w:insideH w:val="none"/>
        <w:insideV w:val="none"/>
      </w:tblBorders>
      <w:tblCellMar>
        <w:top w:w="0" w:type="dxa"/>
        <w:left w:w="0" w:type="dxa"/>
        <w:bottom w:w="60" w:type="dxa"/>
        <w:right w:w="0" w:type="dxa"/>
      </w:tblCellMar>
    </w:tblPr>
    <w:tblGrid>
      <w:gridCol w:w="700"/>
      <w:gridCol w:w="5860"/>
      <w:gridCol w:w="1700"/>
    </w:tblGrid>
    <w:tr>
      <w:tc>
        <w:tcPr>
          <w:tcW w:w="700" w:type="dxa"/>
          <w:vAlign w:val="center"/>
        </w:tcPr>
        <w:p>
          <w:pPr>
            <w:spacing w:before="0" w:after="0" w:line="240" w:lineRule="auto"/>
            <w:jc w:val="left"/>
          </w:pPr>
          <w:r>
            <w:drawing>
              <wp:inline distT="0" distB="0" distL="0" distR="0">
                <wp:extent cx="380000" cy="370000"/>
                <wp:docPr id="101" name="Logo Header"/>
                <a:graphic>
                  <a:graphicData uri="http://schemas.openxmlformats.org/drawingml/2006/picture">
                    <pic:pic>
                      <pic:nvPicPr>
                        <pic:cNvPr id="101" name="logo.png"/>
                        <pic:cNvPicPr/>
                      </pic:nvPicPr>
                      <pic:blipFill>
                        <a:blip r:embed="rIdHeaderLogo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80000" cy="37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860" w:type="dxa"/>
          <w:vAlign w:val="center"/>
        </w:tcPr>
        <w:p>
          <w:pPr>
            <w:spacing w:before="0" w:after="0" w:line="200" w:lineRule="auto"/>
            <w:jc w:val="center"/>
          </w:pPr>
          <w:r>
            <w:rPr>
              <w:rFonts w:ascii="Times New Roman" w:hAnsi="Times New Roman"/>
              <w:b/>
              <w:sz w:val="15"/>
              <w:szCs w:val="15"/>
              <w:color w:val="000000"/>
            </w:rPr>
            <w:t>MOVIMIENTO INDEPENDIENTE GANAMOS TODOS (MIGATO)</w:t>
          </w:r>
        </w:p>
        <w:p>
          <w:pPr>
            <w:spacing w:before="0" w:after="0" w:line="200" w:lineRule="auto"/>
            <w:jc w:val="center"/>
          </w:pPr>
          <w:r>
            <w:rPr>
              <w:rFonts w:ascii="Times New Roman" w:hAnsi="Times New Roman"/>
              <w:sz w:val="13"/>
              <w:szCs w:val="13"/>
              <w:color w:val="444444"/>
            </w:rPr>
            <w:t>EQUIPO TÉCNICO REGIONAL DE INFORMÁTICA Y SISTEMAS • ESTADO MONAGAS</w:t>
          </w:r>
        </w:p>
      </w:tc>
      <w:tc>
        <w:tcPr>
          <w:tcW w:w="1700" w:type="dxa"/>
          <w:vAlign w:val="center"/>
        </w:tcPr>
        <w:p>
          <w:pPr>
            <w:spacing w:before="0" w:after="0" w:line="240" w:lineRule="auto"/>
            <w:jc w:val="right"/>
          </w:pPr>
          <w:r>
            <w:rPr>
              <w:rFonts w:ascii="Times New Roman" w:hAnsi="Times New Roman"/>
              <w:sz w:val="15"/>
              <w:szCs w:val="15"/>
              <w:color w:val="444444"/>
            </w:rPr>
            <w:t>Página </w:t>
          </w:r>
          <w:fldSimple w:instr="PAGE"/>
          <w:r>
            <w:rPr>
              <w:rFonts w:ascii="Times New Roman" w:hAnsi="Times New Roman"/>
              <w:sz w:val="15"/>
              <w:szCs w:val="15"/>
              <w:color w:val="444444"/>
            </w:rPr>
            <w:t> de </w:t>
          </w:r>
          <w:fldSimple w:instr="NUMPAGES"/>
        </w:p>
      </w:tc>
    </w:tr>
  </w:tbl>
</w:hdr>
</file>

<file path=word/header_first.xml><?xml version="1.0" encoding="utf-8"?>
<w:hdr xmlns:w="http://schemas.openxmlformats.org/wordprocessingml/2006/main">
  <w:p>
    <w:pPr>
      <w:jc w:val="center"/>
    </w:pP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3"/>
        <w:szCs w:val="23"/>
        <w:color w:val="000000"/>
      </w:rPr>
    </w:rPrDefault>
    <w:pPrDefault>
      <w:pPr>
        <w:spacing w:line="280" w:lineRule="auto" w:before="0" w:after="0"/>
        <w:jc w:val="both"/>
      </w:pPr>
    </w:pPrDefault>
  </w:docDefaults>
</w:styles>
</file>

<file path=word/_rels/document.xml.rels><?xml version="1.0" encoding="UTF-8" standalone="yes"?>
<Relationships xmlns="http://schemas.openxmlformats.org/package/2006/relationships">
  <Relationship Id="rIdStyles" Type="http://schemas.openxmlformats.org/officeDocument/2006/relationships/styles" Target="styles.xml"/>
  <Relationship Id="rIdHeader1" Type="http://schemas.openxmlformats.org/officeDocument/2006/relationships/header" Target="header1.xml"/>
  <Relationship Id="rIdFooter1" Type="http://schemas.openxmlformats.org/officeDocument/2006/relationships/footer" Target="footer1.xml"/>
  <Relationship Id="rIdHeaderFirst" Type="http://schemas.openxmlformats.org/officeDocument/2006/relationships/header" Target="header_first.xml"/>
  <Relationship Id="rIdFooterFirst" Type="http://schemas.openxmlformats.org/officeDocument/2006/relationships/footer" Target="footer_first.xml"/>
  <Relationship Id="rIdLogo" Type="http://schemas.openxmlformats.org/officeDocument/2006/relationships/image" Target="media/logo.png"/>
</Relationships>
</file>

<file path=word/_rels/header1.xml.rels><?xml version="1.0" encoding="UTF-8" standalone="yes"?>
<Relationships xmlns="http://schemas.openxmlformats.org/package/2006/relationships">
  <Relationship Id="rIdHeaderLogo" Type="http://schemas.openxmlformats.org/officeDocument/2006/relationships/image" Target="media/logo.png"/>
</Relationships>
</file>