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header_first.xml" ContentType="application/vnd.openxmlformats-officedocument.wordprocessingml.header+xml"/>
  <Override PartName="/word/footer_first.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240" w:lineRule="auto"/>
        <w:jc w:val="center"/>
      </w:pPr>
      <w:r>
        <w:rPr>
          <w:rFonts w:ascii="Times New Roman" w:hAnsi="Times New Roman"/>
          <w:b/>
          <w:sz w:val="21"/>
          <w:szCs w:val="21"/>
        </w:rPr>
        <w:t>REPÚBLICA BOLIVARIANA DE VENEZUELA</w:t>
      </w:r>
    </w:p>
    <w:p>
      <w:pPr>
        <w:spacing w:before="0" w:after="0" w:line="240" w:lineRule="auto"/>
        <w:jc w:val="center"/>
      </w:pPr>
      <w:r>
        <w:rPr>
          <w:rFonts w:ascii="Times New Roman" w:hAnsi="Times New Roman"/>
          <w:b/>
          <w:sz w:val="21"/>
          <w:szCs w:val="21"/>
        </w:rPr>
        <w:t>MOVIMIENTO INDEPENDIENTE GANAMOS TODOS (MIGATO)</w:t>
      </w:r>
    </w:p>
    <w:p>
      <w:pPr>
        <w:spacing w:before="0" w:after="0" w:line="240" w:lineRule="auto"/>
        <w:jc w:val="center"/>
      </w:pPr>
      <w:r>
        <w:rPr>
          <w:rFonts w:ascii="Times New Roman" w:hAnsi="Times New Roman"/>
          <w:b/>
          <w:sz w:val="21"/>
          <w:szCs w:val="21"/>
        </w:rPr>
        <w:t>EQUIPO TÉCNICO REGIONAL DE INFORMÁTICA Y SISTEMAS</w:t>
      </w:r>
    </w:p>
    <w:p>
      <w:pPr>
        <w:spacing w:before="0" w:after="0" w:line="240" w:lineRule="auto"/>
        <w:jc w:val="center"/>
      </w:pPr>
      <w:r>
        <w:rPr>
          <w:rFonts w:ascii="Times New Roman" w:hAnsi="Times New Roman"/>
          <w:b/>
          <w:sz w:val="21"/>
          <w:szCs w:val="21"/>
        </w:rPr>
        <w:t>MATURÍN, ESTADO MONAGAS</w:t>
      </w:r>
    </w:p>
    <w:p>
      <w:pPr>
        <w:spacing w:before="0" w:after="60" w:line="240" w:lineRule="auto"/>
      </w:pPr>
    </w:p>
    <w:p>
      <w:pPr>
        <w:spacing w:before="100" w:after="100" w:line="240" w:lineRule="auto"/>
        <w:jc w:val="center"/>
      </w:pPr>
      <w:r>
        <w:drawing>
          <wp:inline distT="0" distB="0" distL="0" distR="0">
            <wp:extent cx="1450000" cy="1415000"/>
            <wp:docPr id="1" name="Logo MIGATO"/>
            <a:graphic>
              <a:graphicData uri="http://schemas.openxmlformats.org/drawingml/2006/picture">
                <pic:pic>
                  <pic:nvPicPr>
                    <pic:cNvPr id="0" name="logo.png"/>
                    <pic:cNvPicPr/>
                  </pic:nvPicPr>
                  <pic:blipFill>
                    <a:blip r:embed="rIdLogo"/>
                    <a:stretch>
                      <a:fillRect/>
                    </a:stretch>
                  </pic:blipFill>
                  <pic:spPr>
                    <a:xfrm>
                      <a:off x="0" y="0"/>
                      <a:ext cx="1450000" cy="1415000"/>
                    </a:xfrm>
                    <a:prstGeom prst="rect">
                      <a:avLst/>
                    </a:prstGeom>
                  </pic:spPr>
                </pic:pic>
              </a:graphicData>
            </a:graphic>
          </wp:inline>
        </w:drawing>
      </w:r>
    </w:p>
    <w:p>
      <w:pPr>
        <w:spacing w:before="0" w:after="60" w:line="240" w:lineRule="auto"/>
      </w:pPr>
    </w:p>
    <w:p>
      <w:pPr>
        <w:spacing w:before="140" w:after="80" w:line="280" w:lineRule="auto"/>
        <w:jc w:val="center"/>
      </w:pPr>
      <w:r>
        <w:rPr>
          <w:rFonts w:ascii="Times New Roman" w:hAnsi="Times New Roman"/>
          <w:b/>
          <w:sz w:val="25"/>
          <w:szCs w:val="25"/>
        </w:rPr>
        <w:t>PROPUESTA TÉCNICA Y PRESUPUESTO DE INFRAESTRUCTURA: SERVIDOR LOCAL Y NUBE</w:t>
      </w:r>
    </w:p>
    <w:p>
      <w:pPr>
        <w:spacing w:before="30" w:after="140" w:line="250" w:lineRule="auto"/>
        <w:jc w:val="center"/>
      </w:pPr>
      <w:r>
        <w:rPr>
          <w:rFonts w:ascii="Times New Roman" w:hAnsi="Times New Roman"/>
          <w:sz w:val="21"/>
          <w:szCs w:val="21"/>
        </w:rPr>
        <w:t>Informe Técnico-Económico para la Puesta en Marcha de la Sala Situacional de Campaña, Servidor Físico RAID 1, Gateway MikroTik y Servidor Cloud VPS MIGATO 2026</w:t>
      </w:r>
    </w:p>
    <w:p>
      <w:pPr>
        <w:spacing w:before="0" w:after="100" w:line="240" w:lineRule="auto"/>
      </w:pPr>
    </w:p>
    <w:p>
      <w:pPr>
        <w:spacing w:before="80" w:after="20" w:line="240" w:lineRule="auto"/>
        <w:ind w:left="3800"/>
        <w:jc w:val="left"/>
      </w:pPr>
      <w:r>
        <w:rPr>
          <w:rFonts w:ascii="Times New Roman" w:hAnsi="Times New Roman"/>
          <w:b/>
          <w:sz w:val="21"/>
        </w:rPr>
        <w:t>Elaborado por:</w:t>
      </w:r>
    </w:p>
    <w:p>
      <w:pPr>
        <w:spacing w:before="0" w:after="15" w:line="240" w:lineRule="auto"/>
        <w:ind w:left="3800"/>
        <w:jc w:val="left"/>
      </w:pPr>
      <w:r>
        <w:rPr>
          <w:rFonts w:ascii="Times New Roman" w:hAnsi="Times New Roman"/>
          <w:sz w:val="21"/>
        </w:rPr>
        <w:t>Equipo Técnico Regional de Sistemas e Informática</w:t>
      </w:r>
    </w:p>
    <w:p>
      <w:pPr>
        <w:spacing w:before="0" w:after="50" w:line="240" w:lineRule="auto"/>
        <w:ind w:left="3800"/>
        <w:jc w:val="left"/>
      </w:pPr>
      <w:r>
        <w:rPr>
          <w:rFonts w:ascii="Times New Roman" w:hAnsi="Times New Roman"/>
          <w:sz w:val="21"/>
        </w:rPr>
        <w:t>Ing. Diego Donado • Ciencia y Tecnología MIGATO</w:t>
      </w:r>
    </w:p>
    <w:p>
      <w:pPr>
        <w:spacing w:before="0" w:after="80" w:line="240" w:lineRule="auto"/>
      </w:pPr>
    </w:p>
    <w:p>
      <w:pPr>
        <w:spacing w:before="120" w:after="0" w:line="240" w:lineRule="auto"/>
        <w:jc w:val="center"/>
      </w:pPr>
      <w:r>
        <w:rPr>
          <w:rFonts w:ascii="Times New Roman" w:hAnsi="Times New Roman"/>
          <w:b/>
          <w:sz w:val="22"/>
        </w:rPr>
        <w:t>Maturín, septiembre de 2026</w:t>
      </w:r>
    </w:p>
    <w:p>
      <w:r>
        <w:br w:type="page"/>
      </w:r>
    </w:p>
    <w:p>
      <w:pPr>
        <w:spacing w:before="10" w:after="15" w:line="240" w:lineRule="auto"/>
        <w:jc w:val="center"/>
      </w:pPr>
      <w:r>
        <w:rPr>
          <w:rFonts w:ascii="Times New Roman" w:hAnsi="Times New Roman"/>
          <w:b/>
          <w:sz w:val="22"/>
          <w:szCs w:val="22"/>
        </w:rPr>
        <w:t>INTRODUCCIÓN</w:t>
      </w:r>
    </w:p>
    <w:p>
      <w:pPr>
        <w:spacing w:before="0" w:after="18" w:line="260" w:lineRule="auto"/>
        <w:ind w:firstLine="567"/>
        <w:jc w:val="both"/>
      </w:pPr>
      <w:r>
        <w:rPr>
          <w:rFonts w:ascii="Times New Roman" w:hAnsi="Times New Roman"/>
          <w:sz w:val="21"/>
          <w:szCs w:val="21"/>
        </w:rPr>
        <w:t xml:space="preserve">El presente informe tiene como propósito exponer ante la directiva del partido y el comando de campaña la propuesta técnica y el presupuesto definitivo para la puesta en marcha de la infraestructura informática de la Sala Situacional de Maturín y la plataforma electoral del Movimiento Independiente Ganamos Todos (MIGATO) para los 13 municipios del Estado Monagas. Se plantea una arquitectura híbrida optimizada que garantiza alta velocidad en consultas cartográficas, cero pérdida de información y plena autonomía ante contingencias eléctricas.</w:t>
      </w:r>
    </w:p>
    <w:p>
      <w:pPr>
        <w:spacing w:before="12" w:after="8" w:line="240" w:lineRule="auto"/>
        <w:jc w:val="center"/>
      </w:pPr>
      <w:r>
        <w:rPr>
          <w:rFonts w:ascii="Times New Roman" w:hAnsi="Times New Roman"/>
          <w:b/>
          <w:sz w:val="22"/>
          <w:szCs w:val="22"/>
        </w:rPr>
        <w:t>1. RESUMEN EJECUTIVO DE INVERSIÓN</w:t>
      </w:r>
    </w:p>
    <w:p>
      <w:pPr>
        <w:spacing w:before="0" w:after="10" w:line="260" w:lineRule="auto"/>
        <w:ind w:firstLine="567"/>
        <w:jc w:val="both"/>
      </w:pPr>
      <w:r>
        <w:rPr>
          <w:rFonts w:ascii="Times New Roman" w:hAnsi="Times New Roman"/>
          <w:sz w:val="21"/>
          <w:szCs w:val="21"/>
        </w:rPr>
        <w:t xml:space="preserve">Para lograr un despliegue equilibrado, la inversión se divide en dos componentes: 1) Equipamiento físico de sala para procesamiento local de alta velocidad sin saturar el ancho de banda; y 2) Servidor en la nube (Cloud VPS) con disponibilidad 24/7 para el reporte móvil de los testigos en centros electorales.</w:t>
      </w:r>
    </w:p>
    <w:tbl>
      <w:tblPr>
        <w:tblW w:w="0" w:type="auto"/>
        <w:jc w:val="center"/>
        <w:tblBorders>
          <w:top w:val="single" w:sz="6" w:space="0" w:color="000000"/>
          <w:left w:val="none"/>
          <w:bottom w:val="single" w:sz="6" w:space="0" w:color="000000"/>
          <w:right w:val="none"/>
          <w:insideH w:val="single" w:sz="4" w:space="0" w:color="CCCCCC"/>
          <w:insideV w:val="none"/>
        </w:tblBorders>
        <w:tblCellMar>
          <w:top w:w="40" w:type="dxa"/>
          <w:left w:w="80" w:type="dxa"/>
          <w:bottom w:w="40" w:type="dxa"/>
          <w:right w:w="80" w:type="dxa"/>
        </w:tblCellMar>
      </w:tblPr>
      <w:tblGrid>
        <w:gridCol w:w="3000"/>
        <w:gridCol w:w="2400"/>
        <w:gridCol w:w="2400"/>
        <w:gridCol w:w="1800"/>
      </w:tblGrid>
      <w:tr>
        <w:trPr>
          <w:tblHeader/>
        </w:trPr>
        <w:tc>
          <w:tcPr>
            <w:tcW w:w="3000" w:type="dxa"/>
            <w:shd w:val="clear" w:color="auto" w:fill="EAEAEA"/>
          </w:tcPr>
          <w:p>
            <w:pPr>
              <w:spacing w:before="10" w:after="10" w:line="220" w:lineRule="auto"/>
              <w:jc w:val="left"/>
            </w:pPr>
            <w:r>
              <w:rPr>
                <w:rFonts w:ascii="Times New Roman" w:hAnsi="Times New Roman"/>
                <w:b/>
                <w:sz w:val="17"/>
              </w:rPr>
              <w:t>Componente / Ámbito</w:t>
            </w:r>
          </w:p>
        </w:tc>
        <w:tc>
          <w:tcPr>
            <w:tcW w:w="2400" w:type="dxa"/>
            <w:shd w:val="clear" w:color="auto" w:fill="EAEAEA"/>
          </w:tcPr>
          <w:p>
            <w:pPr>
              <w:spacing w:before="10" w:after="10" w:line="220" w:lineRule="auto"/>
              <w:jc w:val="right"/>
            </w:pPr>
            <w:r>
              <w:rPr>
                <w:rFonts w:ascii="Times New Roman" w:hAnsi="Times New Roman"/>
                <w:b/>
                <w:sz w:val="17"/>
              </w:rPr>
              <w:t>Modalidad de Inversión</w:t>
            </w:r>
          </w:p>
        </w:tc>
        <w:tc>
          <w:tcPr>
            <w:tcW w:w="2400" w:type="dxa"/>
            <w:shd w:val="clear" w:color="auto" w:fill="EAEAEA"/>
          </w:tcPr>
          <w:p>
            <w:pPr>
              <w:spacing w:before="10" w:after="10" w:line="220" w:lineRule="auto"/>
              <w:jc w:val="left"/>
            </w:pPr>
            <w:r>
              <w:rPr>
                <w:rFonts w:ascii="Times New Roman" w:hAnsi="Times New Roman"/>
                <w:b/>
                <w:sz w:val="17"/>
              </w:rPr>
              <w:t>Cobertura Operativa</w:t>
            </w:r>
          </w:p>
        </w:tc>
        <w:tc>
          <w:tcPr>
            <w:tcW w:w="1800" w:type="dxa"/>
            <w:shd w:val="clear" w:color="auto" w:fill="EAEAEA"/>
          </w:tcPr>
          <w:p>
            <w:pPr>
              <w:spacing w:before="10" w:after="10" w:line="220" w:lineRule="auto"/>
              <w:jc w:val="right"/>
            </w:pPr>
            <w:r>
              <w:rPr>
                <w:rFonts w:ascii="Times New Roman" w:hAnsi="Times New Roman"/>
                <w:b/>
                <w:sz w:val="17"/>
              </w:rPr>
              <w:t>Inversión (USD)</w:t>
            </w:r>
          </w:p>
        </w:tc>
      </w:tr>
      <w:tr>
        <w:tc>
          <w:tcPr>
            <w:tcW w:w="3000" w:type="dxa"/>
            <w:shd w:val="clear" w:color="auto"/>
          </w:tcPr>
          <w:p>
            <w:pPr>
              <w:spacing w:before="6" w:after="6" w:line="220" w:lineRule="auto"/>
              <w:jc w:val="left"/>
            </w:pPr>
            <w:r>
              <w:rPr>
                <w:rFonts w:ascii="Times New Roman" w:hAnsi="Times New Roman"/>
                <w:sz w:val="17"/>
              </w:rPr>
              <w:t>A. Equipamiento Físico de Sala</w:t>
            </w:r>
          </w:p>
        </w:tc>
        <w:tc>
          <w:tcPr>
            <w:tcW w:w="2400" w:type="dxa"/>
            <w:shd w:val="clear" w:color="auto"/>
          </w:tcPr>
          <w:p>
            <w:pPr>
              <w:spacing w:before="6" w:after="6" w:line="220" w:lineRule="auto"/>
              <w:jc w:val="left"/>
            </w:pPr>
            <w:r>
              <w:rPr>
                <w:rFonts w:ascii="Times New Roman" w:hAnsi="Times New Roman"/>
                <w:sz w:val="17"/>
              </w:rPr>
              <w:t>Pago Único (Hardware)</w:t>
            </w:r>
          </w:p>
        </w:tc>
        <w:tc>
          <w:tcPr>
            <w:tcW w:w="2400" w:type="dxa"/>
            <w:shd w:val="clear" w:color="auto"/>
          </w:tcPr>
          <w:p>
            <w:pPr>
              <w:spacing w:before="6" w:after="6" w:line="220" w:lineRule="auto"/>
              <w:jc w:val="left"/>
            </w:pPr>
            <w:r>
              <w:rPr>
                <w:rFonts w:ascii="Times New Roman" w:hAnsi="Times New Roman"/>
                <w:sz w:val="17"/>
              </w:rPr>
              <w:t>45 a 60 min de respaldo en apagones</w:t>
            </w:r>
          </w:p>
        </w:tc>
        <w:tc>
          <w:tcPr>
            <w:tcW w:w="1800" w:type="dxa"/>
            <w:shd w:val="clear" w:color="auto"/>
          </w:tcPr>
          <w:p>
            <w:pPr>
              <w:spacing w:before="6" w:after="6" w:line="220" w:lineRule="auto"/>
              <w:jc w:val="right"/>
            </w:pPr>
            <w:r>
              <w:rPr>
                <w:rFonts w:ascii="Times New Roman" w:hAnsi="Times New Roman"/>
                <w:sz w:val="17"/>
              </w:rPr>
              <w:t>$862,46 USD</w:t>
            </w:r>
          </w:p>
        </w:tc>
      </w:tr>
      <w:tr>
        <w:tc>
          <w:tcPr>
            <w:tcW w:w="3000" w:type="dxa"/>
            <w:shd w:val="clear" w:color="auto"/>
          </w:tcPr>
          <w:p>
            <w:pPr>
              <w:spacing w:before="6" w:after="6" w:line="220" w:lineRule="auto"/>
              <w:jc w:val="left"/>
            </w:pPr>
            <w:r>
              <w:rPr>
                <w:rFonts w:ascii="Times New Roman" w:hAnsi="Times New Roman"/>
                <w:sz w:val="17"/>
              </w:rPr>
              <w:t>B. Servidor Cloud VPS (Nube)</w:t>
            </w:r>
          </w:p>
        </w:tc>
        <w:tc>
          <w:tcPr>
            <w:tcW w:w="2400" w:type="dxa"/>
            <w:shd w:val="clear" w:color="auto"/>
          </w:tcPr>
          <w:p>
            <w:pPr>
              <w:spacing w:before="6" w:after="6" w:line="220" w:lineRule="auto"/>
              <w:jc w:val="left"/>
            </w:pPr>
            <w:r>
              <w:rPr>
                <w:rFonts w:ascii="Times New Roman" w:hAnsi="Times New Roman"/>
                <w:sz w:val="17"/>
              </w:rPr>
              <w:t>Suscripción Mensual</w:t>
            </w:r>
          </w:p>
        </w:tc>
        <w:tc>
          <w:tcPr>
            <w:tcW w:w="2400" w:type="dxa"/>
            <w:shd w:val="clear" w:color="auto"/>
          </w:tcPr>
          <w:p>
            <w:pPr>
              <w:spacing w:before="6" w:after="6" w:line="220" w:lineRule="auto"/>
              <w:jc w:val="left"/>
            </w:pPr>
            <w:r>
              <w:rPr>
                <w:rFonts w:ascii="Times New Roman" w:hAnsi="Times New Roman"/>
                <w:sz w:val="17"/>
              </w:rPr>
              <w:t>24/7 en línea para los 13 municipios</w:t>
            </w:r>
          </w:p>
        </w:tc>
        <w:tc>
          <w:tcPr>
            <w:tcW w:w="1800" w:type="dxa"/>
            <w:shd w:val="clear" w:color="auto"/>
          </w:tcPr>
          <w:p>
            <w:pPr>
              <w:spacing w:before="6" w:after="6" w:line="220" w:lineRule="auto"/>
              <w:jc w:val="right"/>
            </w:pPr>
            <w:r>
              <w:rPr>
                <w:rFonts w:ascii="Times New Roman" w:hAnsi="Times New Roman"/>
                <w:sz w:val="17"/>
              </w:rPr>
              <w:t>$24,50 USD / mes</w:t>
            </w:r>
          </w:p>
        </w:tc>
      </w:tr>
      <w:tr>
        <w:tc>
          <w:tcPr>
            <w:tcW w:w="3000" w:type="dxa"/>
            <w:shd w:val="clear" w:color="auto" w:fill="F5F5F5"/>
          </w:tcPr>
          <w:p>
            <w:pPr>
              <w:spacing w:before="6" w:after="6" w:line="220" w:lineRule="auto"/>
              <w:jc w:val="left"/>
            </w:pPr>
            <w:r>
              <w:rPr>
                <w:rFonts w:ascii="Times New Roman" w:hAnsi="Times New Roman"/>
                <w:b/>
                <w:sz w:val="17"/>
              </w:rPr>
              <w:t>TOTAL INVERSIÓN INTEGRAL</w:t>
            </w:r>
          </w:p>
        </w:tc>
        <w:tc>
          <w:tcPr>
            <w:tcW w:w="2400" w:type="dxa"/>
            <w:shd w:val="clear" w:color="auto" w:fill="F5F5F5"/>
          </w:tcPr>
          <w:p>
            <w:pPr>
              <w:spacing w:before="6" w:after="6" w:line="220" w:lineRule="auto"/>
              <w:jc w:val="left"/>
            </w:pPr>
            <w:r>
              <w:rPr>
                <w:rFonts w:ascii="Times New Roman" w:hAnsi="Times New Roman"/>
                <w:b/>
                <w:sz w:val="17"/>
              </w:rPr>
              <w:t>Equipos físicos + 1 año de Servidor Cloud</w:t>
            </w:r>
          </w:p>
        </w:tc>
        <w:tc>
          <w:tcPr>
            <w:tcW w:w="2400" w:type="dxa"/>
            <w:shd w:val="clear" w:color="auto" w:fill="F5F5F5"/>
          </w:tcPr>
          <w:p>
            <w:pPr>
              <w:spacing w:before="6" w:after="6" w:line="220" w:lineRule="auto"/>
              <w:jc w:val="left"/>
            </w:pPr>
            <w:r>
              <w:rPr>
                <w:rFonts w:ascii="Times New Roman" w:hAnsi="Times New Roman"/>
                <w:b/>
                <w:sz w:val="17"/>
              </w:rPr>
              <w:t>Sala Situacional + Cobertura Total</w:t>
            </w:r>
          </w:p>
        </w:tc>
        <w:tc>
          <w:tcPr>
            <w:tcW w:w="1800" w:type="dxa"/>
            <w:shd w:val="clear" w:color="auto" w:fill="F5F5F5"/>
          </w:tcPr>
          <w:p>
            <w:pPr>
              <w:spacing w:before="6" w:after="6" w:line="220" w:lineRule="auto"/>
              <w:jc w:val="right"/>
            </w:pPr>
            <w:r>
              <w:rPr>
                <w:rFonts w:ascii="Times New Roman" w:hAnsi="Times New Roman"/>
                <w:b/>
                <w:sz w:val="17"/>
              </w:rPr>
              <w:t>$1.156,46 USD</w:t>
            </w:r>
          </w:p>
        </w:tc>
      </w:tr>
    </w:tbl>
    <w:p>
      <w:pPr>
        <w:spacing w:before="0" w:after="15" w:line="240" w:lineRule="auto"/>
      </w:pPr>
    </w:p>
    <w:p>
      <w:pPr>
        <w:spacing w:before="12" w:after="8" w:line="240" w:lineRule="auto"/>
        <w:jc w:val="center"/>
      </w:pPr>
      <w:r>
        <w:rPr>
          <w:rFonts w:ascii="Times New Roman" w:hAnsi="Times New Roman"/>
          <w:b/>
          <w:sz w:val="22"/>
          <w:szCs w:val="22"/>
        </w:rPr>
        <w:t>2. DETALLE DE EQUIPOS FÍSICOS (SALA SITUACIONAL)</w:t>
      </w:r>
    </w:p>
    <w:p>
      <w:pPr>
        <w:spacing w:before="0" w:after="10" w:line="260" w:lineRule="auto"/>
        <w:ind w:firstLine="567"/>
        <w:jc w:val="both"/>
      </w:pPr>
      <w:r>
        <w:rPr>
          <w:rFonts w:ascii="Times New Roman" w:hAnsi="Times New Roman"/>
          <w:sz w:val="21"/>
          <w:szCs w:val="21"/>
        </w:rPr>
        <w:t xml:space="preserve">Se descartan servidores industriales pesados de rack (Dell PowerEdge antiguos) debido a su excesivo consumo eléctrico (300W a 500W), ruido ensordecedor y escasa autonomía en UPS. En su lugar, se implementa una estación de trabajo Dell OptiPlex Core i7 con almacenamiento dual 100% en estado sólido en arreglo espejo (RAID 1) y consumo eficiente (65W). A continuación se detallan los costos cotizados en tiempo real en Mercado Libre Venezuela:</w:t>
      </w:r>
    </w:p>
    <w:tbl>
      <w:tblPr>
        <w:tblW w:w="0" w:type="auto"/>
        <w:jc w:val="center"/>
        <w:tblBorders>
          <w:top w:val="single" w:sz="6" w:space="0" w:color="000000"/>
          <w:left w:val="none"/>
          <w:bottom w:val="single" w:sz="6" w:space="0" w:color="000000"/>
          <w:right w:val="none"/>
          <w:insideH w:val="single" w:sz="4" w:space="0" w:color="CCCCCC"/>
          <w:insideV w:val="none"/>
        </w:tblBorders>
        <w:tblCellMar>
          <w:top w:w="40" w:type="dxa"/>
          <w:left w:w="80" w:type="dxa"/>
          <w:bottom w:w="40" w:type="dxa"/>
          <w:right w:w="80" w:type="dxa"/>
        </w:tblCellMar>
      </w:tblPr>
      <w:tblGrid>
        <w:gridCol w:w="400"/>
        <w:gridCol w:w="2400"/>
        <w:gridCol w:w="3800"/>
        <w:gridCol w:w="600"/>
        <w:gridCol w:w="1100"/>
        <w:gridCol w:w="1300"/>
      </w:tblGrid>
      <w:tr>
        <w:trPr>
          <w:tblHeader/>
        </w:trPr>
        <w:tc>
          <w:tcPr>
            <w:tcW w:w="400" w:type="dxa"/>
            <w:shd w:val="clear" w:color="auto" w:fill="EAEAEA"/>
          </w:tcPr>
          <w:p>
            <w:pPr>
              <w:spacing w:before="10" w:after="10" w:line="220" w:lineRule="auto"/>
              <w:jc w:val="center"/>
            </w:pPr>
            <w:r>
              <w:rPr>
                <w:rFonts w:ascii="Times New Roman" w:hAnsi="Times New Roman"/>
                <w:b/>
                <w:sz w:val="17"/>
              </w:rPr>
              <w:t>N°</w:t>
            </w:r>
          </w:p>
        </w:tc>
        <w:tc>
          <w:tcPr>
            <w:tcW w:w="2400" w:type="dxa"/>
            <w:shd w:val="clear" w:color="auto" w:fill="EAEAEA"/>
          </w:tcPr>
          <w:p>
            <w:pPr>
              <w:spacing w:before="10" w:after="10" w:line="220" w:lineRule="auto"/>
              <w:jc w:val="left"/>
            </w:pPr>
            <w:r>
              <w:rPr>
                <w:rFonts w:ascii="Times New Roman" w:hAnsi="Times New Roman"/>
                <w:b/>
                <w:sz w:val="17"/>
              </w:rPr>
              <w:t>Equipo / Dispositivo</w:t>
            </w:r>
          </w:p>
        </w:tc>
        <w:tc>
          <w:tcPr>
            <w:tcW w:w="3800" w:type="dxa"/>
            <w:shd w:val="clear" w:color="auto" w:fill="EAEAEA"/>
          </w:tcPr>
          <w:p>
            <w:pPr>
              <w:spacing w:before="10" w:after="10" w:line="220" w:lineRule="auto"/>
              <w:jc w:val="left"/>
            </w:pPr>
            <w:r>
              <w:rPr>
                <w:rFonts w:ascii="Times New Roman" w:hAnsi="Times New Roman"/>
                <w:b/>
                <w:sz w:val="17"/>
              </w:rPr>
              <w:t>Especificación Técnica Real</w:t>
            </w:r>
          </w:p>
        </w:tc>
        <w:tc>
          <w:tcPr>
            <w:tcW w:w="600" w:type="dxa"/>
            <w:shd w:val="clear" w:color="auto" w:fill="EAEAEA"/>
          </w:tcPr>
          <w:p>
            <w:pPr>
              <w:spacing w:before="10" w:after="10" w:line="220" w:lineRule="auto"/>
              <w:jc w:val="center"/>
            </w:pPr>
            <w:r>
              <w:rPr>
                <w:rFonts w:ascii="Times New Roman" w:hAnsi="Times New Roman"/>
                <w:b/>
                <w:sz w:val="17"/>
              </w:rPr>
              <w:t>Cant.</w:t>
            </w:r>
          </w:p>
        </w:tc>
        <w:tc>
          <w:tcPr>
            <w:tcW w:w="1100" w:type="dxa"/>
            <w:shd w:val="clear" w:color="auto" w:fill="EAEAEA"/>
          </w:tcPr>
          <w:p>
            <w:pPr>
              <w:spacing w:before="10" w:after="10" w:line="220" w:lineRule="auto"/>
              <w:jc w:val="right"/>
            </w:pPr>
            <w:r>
              <w:rPr>
                <w:rFonts w:ascii="Times New Roman" w:hAnsi="Times New Roman"/>
                <w:b/>
                <w:sz w:val="17"/>
              </w:rPr>
              <w:t>Costo Unit.</w:t>
            </w:r>
          </w:p>
        </w:tc>
        <w:tc>
          <w:tcPr>
            <w:tcW w:w="1300" w:type="dxa"/>
            <w:shd w:val="clear" w:color="auto" w:fill="EAEAEA"/>
          </w:tcPr>
          <w:p>
            <w:pPr>
              <w:spacing w:before="10" w:after="10" w:line="220" w:lineRule="auto"/>
              <w:jc w:val="right"/>
            </w:pPr>
            <w:r>
              <w:rPr>
                <w:rFonts w:ascii="Times New Roman" w:hAnsi="Times New Roman"/>
                <w:b/>
                <w:sz w:val="17"/>
              </w:rPr>
              <w:t>Total (USD)</w:t>
            </w:r>
          </w:p>
        </w:tc>
      </w:tr>
      <w:tr>
        <w:tc>
          <w:tcPr>
            <w:tcW w:w="400" w:type="dxa"/>
            <w:shd w:val="clear" w:color="auto"/>
          </w:tcPr>
          <w:p>
            <w:pPr>
              <w:spacing w:before="6" w:after="6" w:line="220" w:lineRule="auto"/>
              <w:jc w:val="center"/>
            </w:pPr>
            <w:r>
              <w:rPr>
                <w:rFonts w:ascii="Times New Roman" w:hAnsi="Times New Roman"/>
                <w:sz w:val="17"/>
              </w:rPr>
              <w:t>1</w:t>
            </w:r>
          </w:p>
        </w:tc>
        <w:tc>
          <w:tcPr>
            <w:tcW w:w="2400" w:type="dxa"/>
            <w:shd w:val="clear" w:color="auto"/>
          </w:tcPr>
          <w:p>
            <w:pPr>
              <w:spacing w:before="6" w:after="6" w:line="220" w:lineRule="auto"/>
              <w:jc w:val="left"/>
            </w:pPr>
            <w:r>
              <w:rPr>
                <w:rFonts w:ascii="Times New Roman" w:hAnsi="Times New Roman"/>
                <w:sz w:val="17"/>
              </w:rPr>
              <w:t>Computador Servidor Dell OptiPlex</w:t>
            </w:r>
          </w:p>
        </w:tc>
        <w:tc>
          <w:tcPr>
            <w:tcW w:w="3800" w:type="dxa"/>
            <w:shd w:val="clear" w:color="auto"/>
          </w:tcPr>
          <w:p>
            <w:pPr>
              <w:spacing w:before="6" w:after="6" w:line="220" w:lineRule="auto"/>
              <w:jc w:val="left"/>
            </w:pPr>
            <w:r>
              <w:rPr>
                <w:rFonts w:ascii="Times New Roman" w:hAnsi="Times New Roman"/>
                <w:sz w:val="17"/>
              </w:rPr>
              <w:t>Core i7-6700 (3.40 GHz), 8 GB RAM DDR4 (expandible), chasis SFF silencioso (65W)</w:t>
            </w:r>
          </w:p>
        </w:tc>
        <w:tc>
          <w:tcPr>
            <w:tcW w:w="600" w:type="dxa"/>
            <w:shd w:val="clear" w:color="auto"/>
          </w:tcPr>
          <w:p>
            <w:pPr>
              <w:spacing w:before="6" w:after="6" w:line="220" w:lineRule="auto"/>
              <w:jc w:val="center"/>
            </w:pPr>
            <w:r>
              <w:rPr>
                <w:rFonts w:ascii="Times New Roman" w:hAnsi="Times New Roman"/>
                <w:sz w:val="17"/>
              </w:rPr>
              <w:t>1</w:t>
            </w:r>
          </w:p>
        </w:tc>
        <w:tc>
          <w:tcPr>
            <w:tcW w:w="1100" w:type="dxa"/>
            <w:shd w:val="clear" w:color="auto"/>
          </w:tcPr>
          <w:p>
            <w:pPr>
              <w:spacing w:before="6" w:after="6" w:line="220" w:lineRule="auto"/>
              <w:jc w:val="right"/>
            </w:pPr>
            <w:r>
              <w:rPr>
                <w:rFonts w:ascii="Times New Roman" w:hAnsi="Times New Roman"/>
                <w:sz w:val="17"/>
              </w:rPr>
              <w:t>$215,00</w:t>
            </w:r>
          </w:p>
        </w:tc>
        <w:tc>
          <w:tcPr>
            <w:tcW w:w="1300" w:type="dxa"/>
            <w:shd w:val="clear" w:color="auto"/>
          </w:tcPr>
          <w:p>
            <w:pPr>
              <w:spacing w:before="6" w:after="6" w:line="220" w:lineRule="auto"/>
              <w:jc w:val="right"/>
            </w:pPr>
            <w:r>
              <w:rPr>
                <w:rFonts w:ascii="Times New Roman" w:hAnsi="Times New Roman"/>
                <w:sz w:val="17"/>
              </w:rPr>
              <w:t>$215,00 USD</w:t>
            </w:r>
          </w:p>
        </w:tc>
      </w:tr>
      <w:tr>
        <w:tc>
          <w:tcPr>
            <w:tcW w:w="400" w:type="dxa"/>
            <w:shd w:val="clear" w:color="auto"/>
          </w:tcPr>
          <w:p>
            <w:pPr>
              <w:spacing w:before="6" w:after="6" w:line="220" w:lineRule="auto"/>
              <w:jc w:val="center"/>
            </w:pPr>
            <w:r>
              <w:rPr>
                <w:rFonts w:ascii="Times New Roman" w:hAnsi="Times New Roman"/>
                <w:sz w:val="17"/>
              </w:rPr>
              <w:t>2</w:t>
            </w:r>
          </w:p>
        </w:tc>
        <w:tc>
          <w:tcPr>
            <w:tcW w:w="2400" w:type="dxa"/>
            <w:shd w:val="clear" w:color="auto"/>
          </w:tcPr>
          <w:p>
            <w:pPr>
              <w:spacing w:before="6" w:after="6" w:line="220" w:lineRule="auto"/>
              <w:jc w:val="left"/>
            </w:pPr>
            <w:r>
              <w:rPr>
                <w:rFonts w:ascii="Times New Roman" w:hAnsi="Times New Roman"/>
                <w:sz w:val="17"/>
              </w:rPr>
              <w:t>Discos Sólidos SSD 480GB (RAID 1)</w:t>
            </w:r>
          </w:p>
        </w:tc>
        <w:tc>
          <w:tcPr>
            <w:tcW w:w="3800" w:type="dxa"/>
            <w:shd w:val="clear" w:color="auto"/>
          </w:tcPr>
          <w:p>
            <w:pPr>
              <w:spacing w:before="6" w:after="6" w:line="220" w:lineRule="auto"/>
              <w:jc w:val="left"/>
            </w:pPr>
            <w:r>
              <w:rPr>
                <w:rFonts w:ascii="Times New Roman" w:hAnsi="Times New Roman"/>
                <w:sz w:val="17"/>
              </w:rPr>
              <w:t>2x SSD SATA 2.5" 480GB WD Green en Espejo simétrico (Sistema y Base de Datos)</w:t>
            </w:r>
          </w:p>
        </w:tc>
        <w:tc>
          <w:tcPr>
            <w:tcW w:w="600" w:type="dxa"/>
            <w:shd w:val="clear" w:color="auto"/>
          </w:tcPr>
          <w:p>
            <w:pPr>
              <w:spacing w:before="6" w:after="6" w:line="220" w:lineRule="auto"/>
              <w:jc w:val="center"/>
            </w:pPr>
            <w:r>
              <w:rPr>
                <w:rFonts w:ascii="Times New Roman" w:hAnsi="Times New Roman"/>
                <w:sz w:val="17"/>
              </w:rPr>
              <w:t>2</w:t>
            </w:r>
          </w:p>
        </w:tc>
        <w:tc>
          <w:tcPr>
            <w:tcW w:w="1100" w:type="dxa"/>
            <w:shd w:val="clear" w:color="auto"/>
          </w:tcPr>
          <w:p>
            <w:pPr>
              <w:spacing w:before="6" w:after="6" w:line="220" w:lineRule="auto"/>
              <w:jc w:val="right"/>
            </w:pPr>
            <w:r>
              <w:rPr>
                <w:rFonts w:ascii="Times New Roman" w:hAnsi="Times New Roman"/>
                <w:sz w:val="17"/>
              </w:rPr>
              <w:t>$109,99</w:t>
            </w:r>
          </w:p>
        </w:tc>
        <w:tc>
          <w:tcPr>
            <w:tcW w:w="1300" w:type="dxa"/>
            <w:shd w:val="clear" w:color="auto"/>
          </w:tcPr>
          <w:p>
            <w:pPr>
              <w:spacing w:before="6" w:after="6" w:line="220" w:lineRule="auto"/>
              <w:jc w:val="right"/>
            </w:pPr>
            <w:r>
              <w:rPr>
                <w:rFonts w:ascii="Times New Roman" w:hAnsi="Times New Roman"/>
                <w:sz w:val="17"/>
              </w:rPr>
              <w:t>$219,98 USD</w:t>
            </w:r>
          </w:p>
        </w:tc>
      </w:tr>
      <w:tr>
        <w:tc>
          <w:tcPr>
            <w:tcW w:w="400" w:type="dxa"/>
            <w:shd w:val="clear" w:color="auto"/>
          </w:tcPr>
          <w:p>
            <w:pPr>
              <w:spacing w:before="6" w:after="6" w:line="220" w:lineRule="auto"/>
              <w:jc w:val="center"/>
            </w:pPr>
            <w:r>
              <w:rPr>
                <w:rFonts w:ascii="Times New Roman" w:hAnsi="Times New Roman"/>
                <w:sz w:val="17"/>
              </w:rPr>
              <w:t>3</w:t>
            </w:r>
          </w:p>
        </w:tc>
        <w:tc>
          <w:tcPr>
            <w:tcW w:w="2400" w:type="dxa"/>
            <w:shd w:val="clear" w:color="auto"/>
          </w:tcPr>
          <w:p>
            <w:pPr>
              <w:spacing w:before="6" w:after="6" w:line="220" w:lineRule="auto"/>
              <w:jc w:val="left"/>
            </w:pPr>
            <w:r>
              <w:rPr>
                <w:rFonts w:ascii="Times New Roman" w:hAnsi="Times New Roman"/>
                <w:sz w:val="17"/>
              </w:rPr>
              <w:t>Router Gateway MikroTik hEX</w:t>
            </w:r>
          </w:p>
        </w:tc>
        <w:tc>
          <w:tcPr>
            <w:tcW w:w="3800" w:type="dxa"/>
            <w:shd w:val="clear" w:color="auto"/>
          </w:tcPr>
          <w:p>
            <w:pPr>
              <w:spacing w:before="6" w:after="6" w:line="220" w:lineRule="auto"/>
              <w:jc w:val="left"/>
            </w:pPr>
            <w:r>
              <w:rPr>
                <w:rFonts w:ascii="Times New Roman" w:hAnsi="Times New Roman"/>
                <w:sz w:val="17"/>
              </w:rPr>
              <w:t>MikroTik RB750Gr3 (Dual Core 880MHz, 5 Puertos Gigabit). Firewall y túnel WireGuard</w:t>
            </w:r>
          </w:p>
        </w:tc>
        <w:tc>
          <w:tcPr>
            <w:tcW w:w="600" w:type="dxa"/>
            <w:shd w:val="clear" w:color="auto"/>
          </w:tcPr>
          <w:p>
            <w:pPr>
              <w:spacing w:before="6" w:after="6" w:line="220" w:lineRule="auto"/>
              <w:jc w:val="center"/>
            </w:pPr>
            <w:r>
              <w:rPr>
                <w:rFonts w:ascii="Times New Roman" w:hAnsi="Times New Roman"/>
                <w:sz w:val="17"/>
              </w:rPr>
              <w:t>1</w:t>
            </w:r>
          </w:p>
        </w:tc>
        <w:tc>
          <w:tcPr>
            <w:tcW w:w="1100" w:type="dxa"/>
            <w:shd w:val="clear" w:color="auto"/>
          </w:tcPr>
          <w:p>
            <w:pPr>
              <w:spacing w:before="6" w:after="6" w:line="220" w:lineRule="auto"/>
              <w:jc w:val="right"/>
            </w:pPr>
            <w:r>
              <w:rPr>
                <w:rFonts w:ascii="Times New Roman" w:hAnsi="Times New Roman"/>
                <w:sz w:val="17"/>
              </w:rPr>
              <w:t>$105,00</w:t>
            </w:r>
          </w:p>
        </w:tc>
        <w:tc>
          <w:tcPr>
            <w:tcW w:w="1300" w:type="dxa"/>
            <w:shd w:val="clear" w:color="auto"/>
          </w:tcPr>
          <w:p>
            <w:pPr>
              <w:spacing w:before="6" w:after="6" w:line="220" w:lineRule="auto"/>
              <w:jc w:val="right"/>
            </w:pPr>
            <w:r>
              <w:rPr>
                <w:rFonts w:ascii="Times New Roman" w:hAnsi="Times New Roman"/>
                <w:sz w:val="17"/>
              </w:rPr>
              <w:t>$105,00 USD</w:t>
            </w:r>
          </w:p>
        </w:tc>
      </w:tr>
      <w:tr>
        <w:tc>
          <w:tcPr>
            <w:tcW w:w="400" w:type="dxa"/>
            <w:shd w:val="clear" w:color="auto"/>
          </w:tcPr>
          <w:p>
            <w:pPr>
              <w:spacing w:before="6" w:after="6" w:line="220" w:lineRule="auto"/>
              <w:jc w:val="center"/>
            </w:pPr>
            <w:r>
              <w:rPr>
                <w:rFonts w:ascii="Times New Roman" w:hAnsi="Times New Roman"/>
                <w:sz w:val="17"/>
              </w:rPr>
              <w:t>4</w:t>
            </w:r>
          </w:p>
        </w:tc>
        <w:tc>
          <w:tcPr>
            <w:tcW w:w="2400" w:type="dxa"/>
            <w:shd w:val="clear" w:color="auto"/>
          </w:tcPr>
          <w:p>
            <w:pPr>
              <w:spacing w:before="6" w:after="6" w:line="220" w:lineRule="auto"/>
              <w:jc w:val="left"/>
            </w:pPr>
            <w:r>
              <w:rPr>
                <w:rFonts w:ascii="Times New Roman" w:hAnsi="Times New Roman"/>
                <w:sz w:val="17"/>
              </w:rPr>
              <w:t>Switch Gigabit de Sala (16 Puertos)</w:t>
            </w:r>
          </w:p>
        </w:tc>
        <w:tc>
          <w:tcPr>
            <w:tcW w:w="3800" w:type="dxa"/>
            <w:shd w:val="clear" w:color="auto"/>
          </w:tcPr>
          <w:p>
            <w:pPr>
              <w:spacing w:before="6" w:after="6" w:line="220" w:lineRule="auto"/>
              <w:jc w:val="left"/>
            </w:pPr>
            <w:r>
              <w:rPr>
                <w:rFonts w:ascii="Times New Roman" w:hAnsi="Times New Roman"/>
                <w:sz w:val="17"/>
              </w:rPr>
              <w:t>TP-Link TL-SG1016D 16 Puertos 10/100/1000 Mbps chasis metálico para distribución</w:t>
            </w:r>
          </w:p>
        </w:tc>
        <w:tc>
          <w:tcPr>
            <w:tcW w:w="600" w:type="dxa"/>
            <w:shd w:val="clear" w:color="auto"/>
          </w:tcPr>
          <w:p>
            <w:pPr>
              <w:spacing w:before="6" w:after="6" w:line="220" w:lineRule="auto"/>
              <w:jc w:val="center"/>
            </w:pPr>
            <w:r>
              <w:rPr>
                <w:rFonts w:ascii="Times New Roman" w:hAnsi="Times New Roman"/>
                <w:sz w:val="17"/>
              </w:rPr>
              <w:t>1</w:t>
            </w:r>
          </w:p>
        </w:tc>
        <w:tc>
          <w:tcPr>
            <w:tcW w:w="1100" w:type="dxa"/>
            <w:shd w:val="clear" w:color="auto"/>
          </w:tcPr>
          <w:p>
            <w:pPr>
              <w:spacing w:before="6" w:after="6" w:line="220" w:lineRule="auto"/>
              <w:jc w:val="right"/>
            </w:pPr>
            <w:r>
              <w:rPr>
                <w:rFonts w:ascii="Times New Roman" w:hAnsi="Times New Roman"/>
                <w:sz w:val="17"/>
              </w:rPr>
              <w:t>$99,96</w:t>
            </w:r>
          </w:p>
        </w:tc>
        <w:tc>
          <w:tcPr>
            <w:tcW w:w="1300" w:type="dxa"/>
            <w:shd w:val="clear" w:color="auto"/>
          </w:tcPr>
          <w:p>
            <w:pPr>
              <w:spacing w:before="6" w:after="6" w:line="220" w:lineRule="auto"/>
              <w:jc w:val="right"/>
            </w:pPr>
            <w:r>
              <w:rPr>
                <w:rFonts w:ascii="Times New Roman" w:hAnsi="Times New Roman"/>
                <w:sz w:val="17"/>
              </w:rPr>
              <w:t>$99,96 USD</w:t>
            </w:r>
          </w:p>
        </w:tc>
      </w:tr>
      <w:tr>
        <w:tc>
          <w:tcPr>
            <w:tcW w:w="400" w:type="dxa"/>
            <w:shd w:val="clear" w:color="auto"/>
          </w:tcPr>
          <w:p>
            <w:pPr>
              <w:spacing w:before="6" w:after="6" w:line="220" w:lineRule="auto"/>
              <w:jc w:val="center"/>
            </w:pPr>
            <w:r>
              <w:rPr>
                <w:rFonts w:ascii="Times New Roman" w:hAnsi="Times New Roman"/>
                <w:sz w:val="17"/>
              </w:rPr>
              <w:t>5</w:t>
            </w:r>
          </w:p>
        </w:tc>
        <w:tc>
          <w:tcPr>
            <w:tcW w:w="2400" w:type="dxa"/>
            <w:shd w:val="clear" w:color="auto"/>
          </w:tcPr>
          <w:p>
            <w:pPr>
              <w:spacing w:before="6" w:after="6" w:line="220" w:lineRule="auto"/>
              <w:jc w:val="left"/>
            </w:pPr>
            <w:r>
              <w:rPr>
                <w:rFonts w:ascii="Times New Roman" w:hAnsi="Times New Roman"/>
                <w:sz w:val="17"/>
              </w:rPr>
              <w:t>Bobina Cable UTP Cat6 (305 metros)</w:t>
            </w:r>
          </w:p>
        </w:tc>
        <w:tc>
          <w:tcPr>
            <w:tcW w:w="3800" w:type="dxa"/>
            <w:shd w:val="clear" w:color="auto"/>
          </w:tcPr>
          <w:p>
            <w:pPr>
              <w:spacing w:before="6" w:after="6" w:line="220" w:lineRule="auto"/>
              <w:jc w:val="left"/>
            </w:pPr>
            <w:r>
              <w:rPr>
                <w:rFonts w:ascii="Times New Roman" w:hAnsi="Times New Roman"/>
                <w:sz w:val="17"/>
              </w:rPr>
              <w:t>Bobina 305m Cat6 STC interior 100% cobre para cableado estructurado de puestos</w:t>
            </w:r>
          </w:p>
        </w:tc>
        <w:tc>
          <w:tcPr>
            <w:tcW w:w="600" w:type="dxa"/>
            <w:shd w:val="clear" w:color="auto"/>
          </w:tcPr>
          <w:p>
            <w:pPr>
              <w:spacing w:before="6" w:after="6" w:line="220" w:lineRule="auto"/>
              <w:jc w:val="center"/>
            </w:pPr>
            <w:r>
              <w:rPr>
                <w:rFonts w:ascii="Times New Roman" w:hAnsi="Times New Roman"/>
                <w:sz w:val="17"/>
              </w:rPr>
              <w:t>1</w:t>
            </w:r>
          </w:p>
        </w:tc>
        <w:tc>
          <w:tcPr>
            <w:tcW w:w="1100" w:type="dxa"/>
            <w:shd w:val="clear" w:color="auto"/>
          </w:tcPr>
          <w:p>
            <w:pPr>
              <w:spacing w:before="6" w:after="6" w:line="220" w:lineRule="auto"/>
              <w:jc w:val="right"/>
            </w:pPr>
            <w:r>
              <w:rPr>
                <w:rFonts w:ascii="Times New Roman" w:hAnsi="Times New Roman"/>
                <w:sz w:val="17"/>
              </w:rPr>
              <w:t>$72,99</w:t>
            </w:r>
          </w:p>
        </w:tc>
        <w:tc>
          <w:tcPr>
            <w:tcW w:w="1300" w:type="dxa"/>
            <w:shd w:val="clear" w:color="auto"/>
          </w:tcPr>
          <w:p>
            <w:pPr>
              <w:spacing w:before="6" w:after="6" w:line="220" w:lineRule="auto"/>
              <w:jc w:val="right"/>
            </w:pPr>
            <w:r>
              <w:rPr>
                <w:rFonts w:ascii="Times New Roman" w:hAnsi="Times New Roman"/>
                <w:sz w:val="17"/>
              </w:rPr>
              <w:t>$72,99 USD</w:t>
            </w:r>
          </w:p>
        </w:tc>
      </w:tr>
      <w:tr>
        <w:tc>
          <w:tcPr>
            <w:tcW w:w="400" w:type="dxa"/>
            <w:shd w:val="clear" w:color="auto"/>
          </w:tcPr>
          <w:p>
            <w:pPr>
              <w:spacing w:before="6" w:after="6" w:line="220" w:lineRule="auto"/>
              <w:jc w:val="center"/>
            </w:pPr>
            <w:r>
              <w:rPr>
                <w:rFonts w:ascii="Times New Roman" w:hAnsi="Times New Roman"/>
                <w:sz w:val="17"/>
              </w:rPr>
              <w:t>6</w:t>
            </w:r>
          </w:p>
        </w:tc>
        <w:tc>
          <w:tcPr>
            <w:tcW w:w="2400" w:type="dxa"/>
            <w:shd w:val="clear" w:color="auto"/>
          </w:tcPr>
          <w:p>
            <w:pPr>
              <w:spacing w:before="6" w:after="6" w:line="220" w:lineRule="auto"/>
              <w:jc w:val="left"/>
            </w:pPr>
            <w:r>
              <w:rPr>
                <w:rFonts w:ascii="Times New Roman" w:hAnsi="Times New Roman"/>
                <w:sz w:val="17"/>
              </w:rPr>
              <w:t>Conectores RJ45 Cat6 (Caja 100 un.)</w:t>
            </w:r>
          </w:p>
        </w:tc>
        <w:tc>
          <w:tcPr>
            <w:tcW w:w="3800" w:type="dxa"/>
            <w:shd w:val="clear" w:color="auto"/>
          </w:tcPr>
          <w:p>
            <w:pPr>
              <w:spacing w:before="6" w:after="6" w:line="220" w:lineRule="auto"/>
              <w:jc w:val="left"/>
            </w:pPr>
            <w:r>
              <w:rPr>
                <w:rFonts w:ascii="Times New Roman" w:hAnsi="Times New Roman"/>
                <w:sz w:val="17"/>
              </w:rPr>
              <w:t>Conectores RJ45 Cat6 con contactos dorados de alta conductividad para patch cords</w:t>
            </w:r>
          </w:p>
        </w:tc>
        <w:tc>
          <w:tcPr>
            <w:tcW w:w="600" w:type="dxa"/>
            <w:shd w:val="clear" w:color="auto"/>
          </w:tcPr>
          <w:p>
            <w:pPr>
              <w:spacing w:before="6" w:after="6" w:line="220" w:lineRule="auto"/>
              <w:jc w:val="center"/>
            </w:pPr>
            <w:r>
              <w:rPr>
                <w:rFonts w:ascii="Times New Roman" w:hAnsi="Times New Roman"/>
                <w:sz w:val="17"/>
              </w:rPr>
              <w:t>1</w:t>
            </w:r>
          </w:p>
        </w:tc>
        <w:tc>
          <w:tcPr>
            <w:tcW w:w="1100" w:type="dxa"/>
            <w:shd w:val="clear" w:color="auto"/>
          </w:tcPr>
          <w:p>
            <w:pPr>
              <w:spacing w:before="6" w:after="6" w:line="220" w:lineRule="auto"/>
              <w:jc w:val="right"/>
            </w:pPr>
            <w:r>
              <w:rPr>
                <w:rFonts w:ascii="Times New Roman" w:hAnsi="Times New Roman"/>
                <w:sz w:val="17"/>
              </w:rPr>
              <w:t>$6,62</w:t>
            </w:r>
          </w:p>
        </w:tc>
        <w:tc>
          <w:tcPr>
            <w:tcW w:w="1300" w:type="dxa"/>
            <w:shd w:val="clear" w:color="auto"/>
          </w:tcPr>
          <w:p>
            <w:pPr>
              <w:spacing w:before="6" w:after="6" w:line="220" w:lineRule="auto"/>
              <w:jc w:val="right"/>
            </w:pPr>
            <w:r>
              <w:rPr>
                <w:rFonts w:ascii="Times New Roman" w:hAnsi="Times New Roman"/>
                <w:sz w:val="17"/>
              </w:rPr>
              <w:t>$6,62 USD</w:t>
            </w:r>
          </w:p>
        </w:tc>
      </w:tr>
      <w:tr>
        <w:tc>
          <w:tcPr>
            <w:tcW w:w="400" w:type="dxa"/>
            <w:shd w:val="clear" w:color="auto"/>
          </w:tcPr>
          <w:p>
            <w:pPr>
              <w:spacing w:before="6" w:after="6" w:line="220" w:lineRule="auto"/>
              <w:jc w:val="center"/>
            </w:pPr>
            <w:r>
              <w:rPr>
                <w:rFonts w:ascii="Times New Roman" w:hAnsi="Times New Roman"/>
                <w:sz w:val="17"/>
              </w:rPr>
              <w:t>7</w:t>
            </w:r>
          </w:p>
        </w:tc>
        <w:tc>
          <w:tcPr>
            <w:tcW w:w="2400" w:type="dxa"/>
            <w:shd w:val="clear" w:color="auto"/>
          </w:tcPr>
          <w:p>
            <w:pPr>
              <w:spacing w:before="6" w:after="6" w:line="220" w:lineRule="auto"/>
              <w:jc w:val="left"/>
            </w:pPr>
            <w:r>
              <w:rPr>
                <w:rFonts w:ascii="Times New Roman" w:hAnsi="Times New Roman"/>
                <w:sz w:val="17"/>
              </w:rPr>
              <w:t>Kit de Herramientas de Red UTP</w:t>
            </w:r>
          </w:p>
        </w:tc>
        <w:tc>
          <w:tcPr>
            <w:tcW w:w="3800" w:type="dxa"/>
            <w:shd w:val="clear" w:color="auto"/>
          </w:tcPr>
          <w:p>
            <w:pPr>
              <w:spacing w:before="6" w:after="6" w:line="220" w:lineRule="auto"/>
              <w:jc w:val="left"/>
            </w:pPr>
            <w:r>
              <w:rPr>
                <w:rFonts w:ascii="Times New Roman" w:hAnsi="Times New Roman"/>
                <w:sz w:val="17"/>
              </w:rPr>
              <w:t>Kit completo: ponchadora/crimpeadora RJ45-RJ11 + tester UTP probador de cable</w:t>
            </w:r>
          </w:p>
        </w:tc>
        <w:tc>
          <w:tcPr>
            <w:tcW w:w="600" w:type="dxa"/>
            <w:shd w:val="clear" w:color="auto"/>
          </w:tcPr>
          <w:p>
            <w:pPr>
              <w:spacing w:before="6" w:after="6" w:line="220" w:lineRule="auto"/>
              <w:jc w:val="center"/>
            </w:pPr>
            <w:r>
              <w:rPr>
                <w:rFonts w:ascii="Times New Roman" w:hAnsi="Times New Roman"/>
                <w:sz w:val="17"/>
              </w:rPr>
              <w:t>1</w:t>
            </w:r>
          </w:p>
        </w:tc>
        <w:tc>
          <w:tcPr>
            <w:tcW w:w="1100" w:type="dxa"/>
            <w:shd w:val="clear" w:color="auto"/>
          </w:tcPr>
          <w:p>
            <w:pPr>
              <w:spacing w:before="6" w:after="6" w:line="220" w:lineRule="auto"/>
              <w:jc w:val="right"/>
            </w:pPr>
            <w:r>
              <w:rPr>
                <w:rFonts w:ascii="Times New Roman" w:hAnsi="Times New Roman"/>
                <w:sz w:val="17"/>
              </w:rPr>
              <w:t>$12,50</w:t>
            </w:r>
          </w:p>
        </w:tc>
        <w:tc>
          <w:tcPr>
            <w:tcW w:w="1300" w:type="dxa"/>
            <w:shd w:val="clear" w:color="auto"/>
          </w:tcPr>
          <w:p>
            <w:pPr>
              <w:spacing w:before="6" w:after="6" w:line="220" w:lineRule="auto"/>
              <w:jc w:val="right"/>
            </w:pPr>
            <w:r>
              <w:rPr>
                <w:rFonts w:ascii="Times New Roman" w:hAnsi="Times New Roman"/>
                <w:sz w:val="17"/>
              </w:rPr>
              <w:t>$12,50 USD</w:t>
            </w:r>
          </w:p>
        </w:tc>
      </w:tr>
      <w:tr>
        <w:tc>
          <w:tcPr>
            <w:tcW w:w="400" w:type="dxa"/>
            <w:shd w:val="clear" w:color="auto"/>
          </w:tcPr>
          <w:p>
            <w:pPr>
              <w:spacing w:before="6" w:after="6" w:line="220" w:lineRule="auto"/>
              <w:jc w:val="center"/>
            </w:pPr>
            <w:r>
              <w:rPr>
                <w:rFonts w:ascii="Times New Roman" w:hAnsi="Times New Roman"/>
                <w:sz w:val="17"/>
              </w:rPr>
              <w:t>8</w:t>
            </w:r>
          </w:p>
        </w:tc>
        <w:tc>
          <w:tcPr>
            <w:tcW w:w="2400" w:type="dxa"/>
            <w:shd w:val="clear" w:color="auto"/>
          </w:tcPr>
          <w:p>
            <w:pPr>
              <w:spacing w:before="6" w:after="6" w:line="220" w:lineRule="auto"/>
              <w:jc w:val="left"/>
            </w:pPr>
            <w:r>
              <w:rPr>
                <w:rFonts w:ascii="Times New Roman" w:hAnsi="Times New Roman"/>
                <w:sz w:val="17"/>
              </w:rPr>
              <w:t>UPS de Respaldo Eléctrico 1.200 VA</w:t>
            </w:r>
          </w:p>
        </w:tc>
        <w:tc>
          <w:tcPr>
            <w:tcW w:w="3800" w:type="dxa"/>
            <w:shd w:val="clear" w:color="auto"/>
          </w:tcPr>
          <w:p>
            <w:pPr>
              <w:spacing w:before="6" w:after="6" w:line="220" w:lineRule="auto"/>
              <w:jc w:val="left"/>
            </w:pPr>
            <w:r>
              <w:rPr>
                <w:rFonts w:ascii="Times New Roman" w:hAnsi="Times New Roman"/>
                <w:sz w:val="17"/>
              </w:rPr>
              <w:t>UPS Epcom EPU1200LCD 1.200 VA con pantalla digital interactiva y regulador AVR</w:t>
            </w:r>
          </w:p>
        </w:tc>
        <w:tc>
          <w:tcPr>
            <w:tcW w:w="600" w:type="dxa"/>
            <w:shd w:val="clear" w:color="auto"/>
          </w:tcPr>
          <w:p>
            <w:pPr>
              <w:spacing w:before="6" w:after="6" w:line="220" w:lineRule="auto"/>
              <w:jc w:val="center"/>
            </w:pPr>
            <w:r>
              <w:rPr>
                <w:rFonts w:ascii="Times New Roman" w:hAnsi="Times New Roman"/>
                <w:sz w:val="17"/>
              </w:rPr>
              <w:t>1</w:t>
            </w:r>
          </w:p>
        </w:tc>
        <w:tc>
          <w:tcPr>
            <w:tcW w:w="1100" w:type="dxa"/>
            <w:shd w:val="clear" w:color="auto"/>
          </w:tcPr>
          <w:p>
            <w:pPr>
              <w:spacing w:before="6" w:after="6" w:line="220" w:lineRule="auto"/>
              <w:jc w:val="right"/>
            </w:pPr>
            <w:r>
              <w:rPr>
                <w:rFonts w:ascii="Times New Roman" w:hAnsi="Times New Roman"/>
                <w:sz w:val="17"/>
              </w:rPr>
              <w:t>$130,41</w:t>
            </w:r>
          </w:p>
        </w:tc>
        <w:tc>
          <w:tcPr>
            <w:tcW w:w="1300" w:type="dxa"/>
            <w:shd w:val="clear" w:color="auto"/>
          </w:tcPr>
          <w:p>
            <w:pPr>
              <w:spacing w:before="6" w:after="6" w:line="220" w:lineRule="auto"/>
              <w:jc w:val="right"/>
            </w:pPr>
            <w:r>
              <w:rPr>
                <w:rFonts w:ascii="Times New Roman" w:hAnsi="Times New Roman"/>
                <w:sz w:val="17"/>
              </w:rPr>
              <w:t>$130,41 USD</w:t>
            </w:r>
          </w:p>
        </w:tc>
      </w:tr>
      <w:tr>
        <w:tc>
          <w:tcPr>
            <w:tcW w:w="400" w:type="dxa"/>
            <w:shd w:val="clear" w:color="auto" w:fill="F5F5F5"/>
          </w:tcPr>
          <w:p>
            <w:pPr>
              <w:spacing w:before="6" w:after="6" w:line="220" w:lineRule="auto"/>
              <w:jc w:val="center"/>
            </w:pPr>
            <w:r>
              <w:rPr>
                <w:rFonts w:ascii="Times New Roman" w:hAnsi="Times New Roman"/>
                <w:b/>
                <w:sz w:val="17"/>
              </w:rPr>
              <w:t>—</w:t>
            </w:r>
          </w:p>
        </w:tc>
        <w:tc>
          <w:tcPr>
            <w:tcW w:w="2400" w:type="dxa"/>
            <w:shd w:val="clear" w:color="auto" w:fill="F5F5F5"/>
          </w:tcPr>
          <w:p>
            <w:pPr>
              <w:spacing w:before="6" w:after="6" w:line="220" w:lineRule="auto"/>
              <w:jc w:val="left"/>
            </w:pPr>
            <w:r>
              <w:rPr>
                <w:rFonts w:ascii="Times New Roman" w:hAnsi="Times New Roman"/>
                <w:b/>
                <w:sz w:val="17"/>
              </w:rPr>
              <w:t>TOTAL EQUIPAMIENTO FÍSICO</w:t>
            </w:r>
          </w:p>
        </w:tc>
        <w:tc>
          <w:tcPr>
            <w:tcW w:w="3800" w:type="dxa"/>
            <w:shd w:val="clear" w:color="auto" w:fill="F5F5F5"/>
          </w:tcPr>
          <w:p>
            <w:pPr>
              <w:spacing w:before="6" w:after="6" w:line="220" w:lineRule="auto"/>
              <w:jc w:val="left"/>
            </w:pPr>
            <w:r>
              <w:rPr>
                <w:rFonts w:ascii="Times New Roman" w:hAnsi="Times New Roman"/>
                <w:b/>
                <w:sz w:val="17"/>
              </w:rPr>
              <w:t>Dotación completa de cómputo, almacenamiento RAID 1, red y respaldo eléctrico</w:t>
            </w:r>
          </w:p>
        </w:tc>
        <w:tc>
          <w:tcPr>
            <w:tcW w:w="600" w:type="dxa"/>
            <w:shd w:val="clear" w:color="auto" w:fill="F5F5F5"/>
          </w:tcPr>
          <w:p>
            <w:pPr>
              <w:spacing w:before="6" w:after="6" w:line="220" w:lineRule="auto"/>
              <w:jc w:val="center"/>
            </w:pPr>
            <w:r>
              <w:rPr>
                <w:rFonts w:ascii="Times New Roman" w:hAnsi="Times New Roman"/>
                <w:b/>
                <w:sz w:val="17"/>
              </w:rPr>
              <w:t>—</w:t>
            </w:r>
          </w:p>
        </w:tc>
        <w:tc>
          <w:tcPr>
            <w:tcW w:w="1100" w:type="dxa"/>
            <w:shd w:val="clear" w:color="auto" w:fill="F5F5F5"/>
          </w:tcPr>
          <w:p>
            <w:pPr>
              <w:spacing w:before="6" w:after="6" w:line="220" w:lineRule="auto"/>
              <w:jc w:val="left"/>
            </w:pPr>
            <w:r>
              <w:rPr>
                <w:rFonts w:ascii="Times New Roman" w:hAnsi="Times New Roman"/>
                <w:b/>
                <w:sz w:val="17"/>
              </w:rPr>
              <w:t>—</w:t>
            </w:r>
          </w:p>
        </w:tc>
        <w:tc>
          <w:tcPr>
            <w:tcW w:w="1300" w:type="dxa"/>
            <w:shd w:val="clear" w:color="auto" w:fill="F5F5F5"/>
          </w:tcPr>
          <w:p>
            <w:pPr>
              <w:spacing w:before="6" w:after="6" w:line="220" w:lineRule="auto"/>
              <w:jc w:val="right"/>
            </w:pPr>
            <w:r>
              <w:rPr>
                <w:rFonts w:ascii="Times New Roman" w:hAnsi="Times New Roman"/>
                <w:b/>
                <w:sz w:val="17"/>
              </w:rPr>
              <w:t>$862,46 USD</w:t>
            </w:r>
          </w:p>
        </w:tc>
      </w:tr>
    </w:tbl>
    <w:p>
      <w:pPr>
        <w:spacing w:before="6" w:after="20" w:line="200" w:lineRule="auto"/>
        <w:jc w:val="both"/>
      </w:pPr>
      <w:r>
        <w:rPr>
          <w:rFonts w:ascii="Times New Roman" w:hAnsi="Times New Roman"/>
          <w:i/>
          <w:sz w:val="16"/>
          <w:szCs w:val="16"/>
          <w:color w:val="444444"/>
        </w:rPr>
        <w:t>* Nota Técnica sobre Almacenamiento (SATA vs. M.2 NVMe): La placa base del Dell OptiPlex 5040 posee una sola ranura M.2 de almacenamiento y dos puertos SATA III. Para asegurar redundancia simétrica RAID 1 (espejo en tiempo real) sin adaptadores PCIe adicionales ni sobrecalentamiento en chasis SFF, se emplean dos discos SSD SATA 2.5" nativos.</w:t>
      </w:r>
    </w:p>
    <w:p>
      <w:r>
        <w:br w:type="page"/>
      </w:r>
    </w:p>
    <w:p>
      <w:pPr>
        <w:spacing w:before="10" w:after="15" w:line="240" w:lineRule="auto"/>
        <w:jc w:val="center"/>
      </w:pPr>
      <w:r>
        <w:rPr>
          <w:rFonts w:ascii="Times New Roman" w:hAnsi="Times New Roman"/>
          <w:b/>
          <w:sz w:val="22"/>
          <w:szCs w:val="22"/>
        </w:rPr>
        <w:t>3. ARQUITECTURA DE SINCRONIZACIÓN Y TOLERANCIA A FALLAS</w:t>
      </w:r>
    </w:p>
    <w:p>
      <w:pPr>
        <w:spacing w:before="0" w:after="12" w:line="260" w:lineRule="auto"/>
        <w:ind w:firstLine="567"/>
        <w:jc w:val="both"/>
      </w:pPr>
      <w:r>
        <w:rPr>
          <w:rFonts w:ascii="Times New Roman" w:hAnsi="Times New Roman"/>
          <w:sz w:val="21"/>
          <w:szCs w:val="21"/>
        </w:rPr>
        <w:t xml:space="preserve">Para impedir colisiones de información y asegurar que la plataforma nunca se detenga, el flujo de datos se estructura en cuatro etapas operativas:</w:t>
      </w:r>
    </w:p>
    <w:p>
      <w:pPr>
        <w:spacing w:before="0" w:after="10" w:line="250" w:lineRule="auto"/>
        <w:ind w:left="360" w:hanging="360"/>
        <w:jc w:val="both"/>
      </w:pPr>
      <w:r>
        <w:rPr>
          <w:rFonts w:ascii="Times New Roman" w:hAnsi="Times New Roman"/>
          <w:b/>
          <w:sz w:val="20"/>
        </w:rPr>
        <w:t xml:space="preserve">• 1. Reporte Móvil en los 13 Municipios: </w:t>
      </w:r>
      <w:r>
        <w:rPr>
          <w:rFonts w:ascii="Times New Roman" w:hAnsi="Times New Roman"/>
          <w:sz w:val="20"/>
        </w:rPr>
        <w:t xml:space="preserve">Los testigos de centro y dirigentes parroquiales transmiten los votos y fotos de actas directamente al Servidor Cloud VPS a través de telefonía celular. Al residir en un centro de datos protegido, la nube nunca se apaga ni depende del servicio eléctrico local.</w:t>
      </w:r>
    </w:p>
    <w:p>
      <w:pPr>
        <w:spacing w:before="0" w:after="10" w:line="250" w:lineRule="auto"/>
        <w:ind w:left="360" w:hanging="360"/>
        <w:jc w:val="both"/>
      </w:pPr>
      <w:r>
        <w:rPr>
          <w:rFonts w:ascii="Times New Roman" w:hAnsi="Times New Roman"/>
          <w:b/>
          <w:sz w:val="20"/>
        </w:rPr>
        <w:t xml:space="preserve">• 2. Enlace Cifrado con la Sala Situacional: </w:t>
      </w:r>
      <w:r>
        <w:rPr>
          <w:rFonts w:ascii="Times New Roman" w:hAnsi="Times New Roman"/>
          <w:sz w:val="20"/>
        </w:rPr>
        <w:t xml:space="preserve">El Servidor Cloud VPS retransmite las transacciones en tiempo real al computador Dell de la oficina en Maturín a través de un túnel seguro VPN WireGuard gestionado por el router MikroTik.</w:t>
      </w:r>
    </w:p>
    <w:p>
      <w:pPr>
        <w:spacing w:before="0" w:after="10" w:line="250" w:lineRule="auto"/>
        <w:ind w:left="360" w:hanging="360"/>
        <w:jc w:val="both"/>
      </w:pPr>
      <w:r>
        <w:rPr>
          <w:rFonts w:ascii="Times New Roman" w:hAnsi="Times New Roman"/>
          <w:b/>
          <w:sz w:val="20"/>
        </w:rPr>
        <w:t xml:space="preserve">• 3. Almacenamiento Dual en Espejo (RAID 1): </w:t>
      </w:r>
      <w:r>
        <w:rPr>
          <w:rFonts w:ascii="Times New Roman" w:hAnsi="Times New Roman"/>
          <w:sz w:val="20"/>
        </w:rPr>
        <w:t xml:space="preserve">El computador Dell en sala graba cada dato simultáneamente en sus dos unidades SSD. Si un disco sufre una avería o fluctuación de voltaje, el segundo disco mantiene el sistema 100% operativo sin caída de servicio ni pérdida de información.</w:t>
      </w:r>
    </w:p>
    <w:p>
      <w:pPr>
        <w:spacing w:before="0" w:after="18" w:line="250" w:lineRule="auto"/>
        <w:ind w:left="360" w:hanging="360"/>
        <w:jc w:val="both"/>
      </w:pPr>
      <w:r>
        <w:rPr>
          <w:rFonts w:ascii="Times New Roman" w:hAnsi="Times New Roman"/>
          <w:b/>
          <w:sz w:val="20"/>
        </w:rPr>
        <w:t xml:space="preserve">• 4. Respaldo Integral ante Apagones: </w:t>
      </w:r>
      <w:r>
        <w:rPr>
          <w:rFonts w:ascii="Times New Roman" w:hAnsi="Times New Roman"/>
          <w:sz w:val="20"/>
        </w:rPr>
        <w:t xml:space="preserve">En caso de corte de suministro eléctrico en Maturín, el UPS mantiene la estación Dell, el switch y el MikroTik operando durante 45 a 60 minutos continuos. Si el corte persiste, los testigos en campo continúan reportando con normalidad en la nube sin enterarse de la interrupción en la sede.</w:t>
      </w:r>
    </w:p>
    <w:p>
      <w:pPr>
        <w:spacing w:before="15" w:after="10" w:line="240" w:lineRule="auto"/>
        <w:jc w:val="center"/>
      </w:pPr>
      <w:r>
        <w:rPr>
          <w:rFonts w:ascii="Times New Roman" w:hAnsi="Times New Roman"/>
          <w:b/>
          <w:sz w:val="22"/>
          <w:szCs w:val="22"/>
        </w:rPr>
        <w:t>4. RECOMENDACIÓN FINAL Y DECISIÓN</w:t>
      </w:r>
    </w:p>
    <w:p>
      <w:pPr>
        <w:spacing w:before="0" w:after="25" w:line="260" w:lineRule="auto"/>
        <w:ind w:firstLine="567"/>
        <w:jc w:val="both"/>
      </w:pPr>
      <w:r>
        <w:rPr>
          <w:rFonts w:ascii="Times New Roman" w:hAnsi="Times New Roman"/>
          <w:sz w:val="21"/>
          <w:szCs w:val="21"/>
        </w:rPr>
        <w:t xml:space="preserve">Se recomienda formalmente la aprobación del presupuesto físico de $862,46 USD para la dotación de la Sala Situacional y la suscripción del Servidor Cloud VPS ($24,50 USD/mes), otorgando a MIGATO una plataforma territorial moderna, de máxima velocidad y blindada contra fallas. Nota de Seguridad: El sistema de cámaras de videovigilancia (CCTV) se cotizará por separado más adelante según lo instruido; no obstante, el switch de 16 puertos, el kit de herramientas y la bobina Cat6 presupuestados en este documento ya dejan instalados los puntos de red requeridos.</w:t>
      </w:r>
    </w:p>
    <w:p>
      <w:pPr>
        <w:spacing w:before="15" w:after="20" w:line="240" w:lineRule="auto"/>
        <w:jc w:val="center"/>
      </w:pPr>
      <w:r>
        <w:rPr>
          <w:rFonts w:ascii="Times New Roman" w:hAnsi="Times New Roman"/>
          <w:b/>
          <w:sz w:val="22"/>
          <w:szCs w:val="22"/>
        </w:rPr>
        <w:t>5. CONFORMIDAD Y FIRMAS AUTORIZADAS</w:t>
      </w:r>
    </w:p>
    <w:tbl>
      <w:tblPr>
        <w:tblW w:w="8260" w:type="dxa"/>
        <w:jc w:val="center"/>
        <w:tblBorders>
          <w:top w:val="none"/>
          <w:left w:val="none"/>
          <w:bottom w:val="none"/>
          <w:right w:val="none"/>
          <w:insideH w:val="none"/>
          <w:insideV w:val="none"/>
        </w:tblBorders>
      </w:tblPr>
      <w:tblGrid>
        <w:gridCol w:w="4130"/>
        <w:gridCol w:w="4130"/>
      </w:tblGrid>
      <w:tr>
        <w:tc>
          <w:tcPr>
            <w:tcW w:w="4130" w:type="dxa"/>
          </w:tcPr>
          <w:p>
            <w:pPr>
              <w:spacing w:before="120" w:after="15" w:line="240" w:lineRule="auto"/>
              <w:jc w:val="center"/>
            </w:pPr>
            <w:r>
              <w:t>_______________________________________</w:t>
            </w:r>
          </w:p>
          <w:p>
            <w:pPr>
              <w:spacing w:before="0" w:after="10" w:line="240" w:lineRule="auto"/>
              <w:jc w:val="center"/>
            </w:pPr>
            <w:r>
              <w:rPr>
                <w:rFonts w:ascii="Times New Roman" w:hAnsi="Times New Roman"/>
                <w:b/>
                <w:sz w:val="19"/>
                <w:color w:val="000000"/>
              </w:rPr>
              <w:t>COMANDO ESTRATÉGICO MIGATO</w:t>
            </w:r>
          </w:p>
          <w:p>
            <w:pPr>
              <w:spacing w:before="0" w:after="0" w:line="200" w:lineRule="auto"/>
              <w:jc w:val="center"/>
            </w:pPr>
            <w:r>
              <w:rPr>
                <w:rFonts w:ascii="Times New Roman" w:hAnsi="Times New Roman"/>
                <w:sz w:val="15"/>
                <w:color w:val="555555"/>
              </w:rPr>
              <w:t>Dirección de Operaciones • El Gato Briceño</w:t>
            </w:r>
          </w:p>
        </w:tc>
        <w:tc>
          <w:tcPr>
            <w:tcW w:w="4130" w:type="dxa"/>
          </w:tcPr>
          <w:p>
            <w:pPr>
              <w:spacing w:before="120" w:after="15" w:line="240" w:lineRule="auto"/>
              <w:jc w:val="center"/>
            </w:pPr>
            <w:r>
              <w:t>_______________________________________</w:t>
            </w:r>
          </w:p>
          <w:p>
            <w:pPr>
              <w:spacing w:before="0" w:after="10" w:line="240" w:lineRule="auto"/>
              <w:jc w:val="center"/>
            </w:pPr>
            <w:r>
              <w:rPr>
                <w:rFonts w:ascii="Times New Roman" w:hAnsi="Times New Roman"/>
                <w:b/>
                <w:sz w:val="19"/>
                <w:color w:val="000000"/>
              </w:rPr>
              <w:t>ING. DIEGO DONADO</w:t>
            </w:r>
          </w:p>
          <w:p>
            <w:pPr>
              <w:spacing w:before="0" w:after="0" w:line="200" w:lineRule="auto"/>
              <w:jc w:val="center"/>
            </w:pPr>
            <w:r>
              <w:rPr>
                <w:rFonts w:ascii="Times New Roman" w:hAnsi="Times New Roman"/>
                <w:sz w:val="15"/>
                <w:color w:val="555555"/>
              </w:rPr>
              <w:t>Responsable de Ciencia y Tecnología MIGATO</w:t>
            </w:r>
          </w:p>
        </w:tc>
      </w:tr>
    </w:tbl>
    <w:sectPr>
      <w:headerReference w:type="first" r:id="rIdHeaderFirst"/>
      <w:headerReference w:type="default" r:id="rIdHeader1"/>
      <w:footerReference w:type="first" r:id="rIdFooterFirst"/>
      <w:footerReference w:type="default" r:id="rIdFooter1"/>
      <w:titlePg/>
      <w:pgSz w:w="12240" w:h="15840"/>
      <w:pgMar w:top="1440" w:right="1440" w:bottom="1440" w:left="1700" w:header="720" w:footer="720" w:gutter="0"/>
    </w:sectPr>
  </w:body>
</w:document>
</file>

<file path=word/footer1.xml><?xml version="1.0" encoding="utf-8"?>
<w:ftr xmlns:w="http://schemas.openxmlformats.org/wordprocessingml/2006/main">
  <w:p>
    <w:pPr>
      <w:jc w:val="center"/>
      <w:spacing w:before="60" w:after="0" w:line="240" w:lineRule="auto"/>
    </w:pPr>
    <w:r>
      <w:rPr>
        <w:rFonts w:ascii="Times New Roman" w:hAnsi="Times New Roman"/>
        <w:sz w:val="14"/>
        <w:color w:val="777777"/>
      </w:rPr>
      <w:t>Sala Situacional El Gato Briceño • Maturín, Estado Monagas</w:t>
    </w:r>
  </w:p>
</w:ftr>
</file>

<file path=word/footer_first.xml><?xml version="1.0" encoding="utf-8"?>
<w:ftr xmlns:w="http://schemas.openxmlformats.org/wordprocessingml/2006/main">
  <w:p>
    <w:pPr>
      <w:jc w:val="center"/>
    </w:pPr>
  </w:p>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8260" w:type="dxa"/>
      <w:jc w:val="center"/>
      <w:tblBorders>
        <w:top w:val="none"/>
        <w:left w:val="none"/>
        <w:bottom w:val="single" w:sz="6" w:space="0" w:color="D1D5DB"/>
        <w:right w:val="none"/>
        <w:insideH w:val="none"/>
        <w:insideV w:val="none"/>
      </w:tblBorders>
      <w:tblCellMar>
        <w:top w:w="0" w:type="dxa"/>
        <w:left w:w="0" w:type="dxa"/>
        <w:bottom w:w="60" w:type="dxa"/>
        <w:right w:w="0" w:type="dxa"/>
      </w:tblCellMar>
    </w:tblPr>
    <w:tblGrid>
      <w:gridCol w:w="700"/>
      <w:gridCol w:w="5860"/>
      <w:gridCol w:w="1700"/>
    </w:tblGrid>
    <w:tr>
      <w:tc>
        <w:tcPr>
          <w:tcW w:w="700" w:type="dxa"/>
          <w:vAlign w:val="center"/>
        </w:tcPr>
        <w:p>
          <w:pPr>
            <w:spacing w:before="0" w:after="0" w:line="240" w:lineRule="auto"/>
            <w:jc w:val="left"/>
          </w:pPr>
          <w:r>
            <w:drawing>
              <wp:inline distT="0" distB="0" distL="0" distR="0">
                <wp:extent cx="380000" cy="370000"/>
                <wp:docPr id="101" name="Logo Header"/>
                <a:graphic>
                  <a:graphicData uri="http://schemas.openxmlformats.org/drawingml/2006/picture">
                    <pic:pic>
                      <pic:nvPicPr>
                        <pic:cNvPr id="101" name="logo.png"/>
                        <pic:cNvPicPr/>
                      </pic:nvPicPr>
                      <pic:blipFill>
                        <a:blip r:embed="rIdHeaderLogo"/>
                        <a:stretch>
                          <a:fillRect/>
                        </a:stretch>
                      </pic:blipFill>
                      <pic:spPr>
                        <a:xfrm>
                          <a:off x="0" y="0"/>
                          <a:ext cx="380000" cy="370000"/>
                        </a:xfrm>
                        <a:prstGeom prst="rect">
                          <a:avLst/>
                        </a:prstGeom>
                      </pic:spPr>
                    </pic:pic>
                  </a:graphicData>
                </a:graphic>
              </wp:inline>
            </w:drawing>
          </w:r>
        </w:p>
      </w:tc>
      <w:tc>
        <w:tcPr>
          <w:tcW w:w="5860" w:type="dxa"/>
          <w:vAlign w:val="center"/>
        </w:tcPr>
        <w:p>
          <w:pPr>
            <w:spacing w:before="0" w:after="0" w:line="200" w:lineRule="auto"/>
            <w:jc w:val="center"/>
          </w:pPr>
          <w:r>
            <w:rPr>
              <w:rFonts w:ascii="Times New Roman" w:hAnsi="Times New Roman"/>
              <w:b/>
              <w:sz w:val="15"/>
              <w:szCs w:val="15"/>
              <w:color w:val="000000"/>
            </w:rPr>
            <w:t>MOVIMIENTO INDEPENDIENTE GANAMOS TODOS (MIGATO)</w:t>
          </w:r>
        </w:p>
        <w:p>
          <w:pPr>
            <w:spacing w:before="0" w:after="0" w:line="200" w:lineRule="auto"/>
            <w:jc w:val="center"/>
          </w:pPr>
          <w:r>
            <w:rPr>
              <w:rFonts w:ascii="Times New Roman" w:hAnsi="Times New Roman"/>
              <w:sz w:val="13"/>
              <w:szCs w:val="13"/>
              <w:color w:val="444444"/>
            </w:rPr>
            <w:t>EQUIPO TÉCNICO REGIONAL DE INFORMÁTICA Y SISTEMAS • ESTADO MONAGAS</w:t>
          </w:r>
        </w:p>
      </w:tc>
      <w:tc>
        <w:tcPr>
          <w:tcW w:w="1700" w:type="dxa"/>
          <w:vAlign w:val="center"/>
        </w:tcPr>
        <w:p>
          <w:pPr>
            <w:spacing w:before="0" w:after="0" w:line="240" w:lineRule="auto"/>
            <w:jc w:val="right"/>
          </w:pPr>
          <w:r>
            <w:rPr>
              <w:rFonts w:ascii="Times New Roman" w:hAnsi="Times New Roman"/>
              <w:sz w:val="15"/>
              <w:szCs w:val="15"/>
              <w:color w:val="444444"/>
            </w:rPr>
            <w:t>Página </w:t>
          </w:r>
          <w:fldSimple w:instr="PAGE"/>
          <w:r>
            <w:rPr>
              <w:rFonts w:ascii="Times New Roman" w:hAnsi="Times New Roman"/>
              <w:sz w:val="15"/>
              <w:szCs w:val="15"/>
              <w:color w:val="444444"/>
            </w:rPr>
            <w:t> de </w:t>
          </w:r>
          <w:fldSimple w:instr="NUMPAGES"/>
        </w:p>
      </w:tc>
    </w:tr>
  </w:tbl>
</w:hdr>
</file>

<file path=word/header_first.xml><?xml version="1.0" encoding="utf-8"?>
<w:hdr xmlns:w="http://schemas.openxmlformats.org/wordprocessingml/2006/main">
  <w:p>
    <w:pPr>
      <w:jc w:val="center"/>
    </w:pPr>
  </w:p>
</w:hdr>
</file>

<file path=word/styles.xml><?xml version="1.0" encoding="utf-8"?>
<w:styles xmlns:w="http://schemas.openxmlformats.org/wordprocessingml/2006/main">
  <w:docDefaults>
    <w:rPrDefault>
      <w:rPr>
        <w:rFonts w:ascii="Times New Roman" w:hAnsi="Times New Roman" w:cs="Times New Roman"/>
        <w:sz w:val="23"/>
        <w:szCs w:val="23"/>
        <w:color w:val="000000"/>
      </w:rPr>
    </w:rPrDefault>
    <w:pPrDefault>
      <w:pPr>
        <w:spacing w:line="280" w:lineRule="auto" w:before="0" w:after="0"/>
        <w:jc w:val="both"/>
      </w:pPr>
    </w:pPrDefault>
  </w:docDefaults>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Header1" Type="http://schemas.openxmlformats.org/officeDocument/2006/relationships/header" Target="header1.xml"/>
  <Relationship Id="rIdFooter1" Type="http://schemas.openxmlformats.org/officeDocument/2006/relationships/footer" Target="footer1.xml"/>
  <Relationship Id="rIdHeaderFirst" Type="http://schemas.openxmlformats.org/officeDocument/2006/relationships/header" Target="header_first.xml"/>
  <Relationship Id="rIdFooterFirst" Type="http://schemas.openxmlformats.org/officeDocument/2006/relationships/footer" Target="footer_first.xml"/>
  <Relationship Id="rIdLogo" Type="http://schemas.openxmlformats.org/officeDocument/2006/relationships/image" Target="media/logo.png"/>
</Relationships>
</file>

<file path=word/_rels/header1.xml.rels><?xml version="1.0" encoding="UTF-8" standalone="yes"?>
<Relationships xmlns="http://schemas.openxmlformats.org/package/2006/relationships">
  <Relationship Id="rIdHeaderLogo" Type="http://schemas.openxmlformats.org/officeDocument/2006/relationships/image" Target="media/logo.png"/>
</Relationships>
</file>