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_first.xml" ContentType="application/vnd.openxmlformats-officedocument.wordprocessingml.header+xml"/>
  <Override PartName="/word/footer_first.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240" w:lineRule="auto"/>
        <w:jc w:val="center"/>
      </w:pPr>
      <w:r>
        <w:rPr>
          <w:rFonts w:ascii="Times New Roman" w:hAnsi="Times New Roman"/>
          <w:b/>
          <w:sz w:val="21"/>
          <w:szCs w:val="21"/>
        </w:rPr>
        <w:t>REPÚBLICA BOLIVARIANA DE VENEZUELA</w:t>
      </w:r>
    </w:p>
    <w:p>
      <w:pPr>
        <w:spacing w:before="0" w:after="0" w:line="240" w:lineRule="auto"/>
        <w:jc w:val="center"/>
      </w:pPr>
      <w:r>
        <w:rPr>
          <w:rFonts w:ascii="Times New Roman" w:hAnsi="Times New Roman"/>
          <w:b/>
          <w:sz w:val="21"/>
          <w:szCs w:val="21"/>
        </w:rPr>
        <w:t>MOVIMIENTO INDEPENDIENTE GANAMOS TODOS (MIGATO)</w:t>
      </w:r>
    </w:p>
    <w:p>
      <w:pPr>
        <w:spacing w:before="0" w:after="0" w:line="240" w:lineRule="auto"/>
        <w:jc w:val="center"/>
      </w:pPr>
      <w:r>
        <w:rPr>
          <w:rFonts w:ascii="Times New Roman" w:hAnsi="Times New Roman"/>
          <w:b/>
          <w:sz w:val="21"/>
          <w:szCs w:val="21"/>
        </w:rPr>
        <w:t>EQUIPO TÉCNICO REGIONAL DE INFORMÁTICA Y SISTEMAS</w:t>
      </w:r>
    </w:p>
    <w:p>
      <w:pPr>
        <w:spacing w:before="0" w:after="0" w:line="240" w:lineRule="auto"/>
        <w:jc w:val="center"/>
      </w:pPr>
      <w:r>
        <w:rPr>
          <w:rFonts w:ascii="Times New Roman" w:hAnsi="Times New Roman"/>
          <w:b/>
          <w:sz w:val="21"/>
          <w:szCs w:val="21"/>
        </w:rPr>
        <w:t>MATURÍN, ESTADO MONAGAS</w:t>
      </w:r>
    </w:p>
    <w:p>
      <w:pPr>
        <w:spacing w:before="0" w:after="60" w:line="240" w:lineRule="auto"/>
      </w:pPr>
    </w:p>
    <w:p>
      <w:pPr>
        <w:spacing w:before="120" w:after="120" w:line="240" w:lineRule="auto"/>
        <w:jc w:val="center"/>
      </w:pPr>
      <w:r>
        <w:drawing>
          <wp:inline distT="0" distB="0" distL="0" distR="0">
            <wp:extent cx="1450000" cy="1415000"/>
            <wp:docPr id="1" name="Logo MIGATO"/>
            <a:graphic>
              <a:graphicData uri="http://schemas.openxmlformats.org/drawingml/2006/picture">
                <pic:pic>
                  <pic:nvPicPr>
                    <pic:cNvPr id="0" name="logo.png"/>
                    <pic:cNvPicPr/>
                  </pic:nvPicPr>
                  <pic:blipFill>
                    <a:blip r:embed="rIdLogo"/>
                    <a:stretch>
                      <a:fillRect/>
                    </a:stretch>
                  </pic:blipFill>
                  <pic:spPr>
                    <a:xfrm>
                      <a:off x="0" y="0"/>
                      <a:ext cx="1450000" cy="1415000"/>
                    </a:xfrm>
                    <a:prstGeom prst="rect">
                      <a:avLst/>
                    </a:prstGeom>
                  </pic:spPr>
                </pic:pic>
              </a:graphicData>
            </a:graphic>
          </wp:inline>
        </w:drawing>
      </w:r>
    </w:p>
    <w:p>
      <w:pPr>
        <w:spacing w:before="0" w:after="60" w:line="240" w:lineRule="auto"/>
      </w:pPr>
    </w:p>
    <w:p>
      <w:pPr>
        <w:spacing w:before="140" w:after="80" w:line="280" w:lineRule="auto"/>
        <w:jc w:val="center"/>
      </w:pPr>
      <w:r>
        <w:rPr>
          <w:rFonts w:ascii="Times New Roman" w:hAnsi="Times New Roman"/>
          <w:b/>
          <w:sz w:val="25"/>
          <w:szCs w:val="25"/>
        </w:rPr>
        <w:t>DICTAMEN TÉCNICO Y ACTUALIZACIÓN DE PROPUESTAS: SISTEMA DE PROTECCIÓN Y BLINDAJE PARA EL SERVIDOR FÍSICO DE SALA SITUACIONAL</w:t>
      </w:r>
    </w:p>
    <w:p>
      <w:pPr>
        <w:spacing w:before="30" w:after="140" w:line="250" w:lineRule="auto"/>
        <w:jc w:val="center"/>
      </w:pPr>
      <w:r>
        <w:rPr>
          <w:rFonts w:ascii="Times New Roman" w:hAnsi="Times New Roman"/>
          <w:sz w:val="21"/>
          <w:szCs w:val="21"/>
          <w:color w:val="0284C7"/>
        </w:rPr>
        <w:t>Arquitectura Criptográfica Anti-Allanamiento, Enclaves Epímeros en Memoria RAM, Secreto Compartido de Shamir 2-de-3, Clave de Coacción con Purga Instantánea y Encapsulamiento Anti-DPI</w:t>
      </w:r>
    </w:p>
    <w:p>
      <w:pPr>
        <w:spacing w:before="0" w:after="100" w:line="240" w:lineRule="auto"/>
      </w:pPr>
    </w:p>
    <w:p>
      <w:pPr>
        <w:spacing w:before="80" w:after="20" w:line="240" w:lineRule="auto"/>
        <w:ind w:left="3800"/>
        <w:jc w:val="left"/>
      </w:pPr>
      <w:r>
        <w:rPr>
          <w:rFonts w:ascii="Times New Roman" w:hAnsi="Times New Roman"/>
          <w:b/>
          <w:sz w:val="21"/>
        </w:rPr>
        <w:t>Elaborado por:</w:t>
      </w:r>
    </w:p>
    <w:p>
      <w:pPr>
        <w:spacing w:before="0" w:after="15" w:line="240" w:lineRule="auto"/>
        <w:ind w:left="3800"/>
        <w:jc w:val="left"/>
      </w:pPr>
      <w:r>
        <w:rPr>
          <w:rFonts w:ascii="Times New Roman" w:hAnsi="Times New Roman"/>
          <w:sz w:val="21"/>
        </w:rPr>
        <w:t>División de Ciencia, Tecnología y Ciberdefensa</w:t>
      </w:r>
    </w:p>
    <w:p>
      <w:pPr>
        <w:spacing w:before="0" w:after="15" w:line="240" w:lineRule="auto"/>
        <w:ind w:left="3800"/>
        <w:jc w:val="left"/>
      </w:pPr>
      <w:r>
        <w:rPr>
          <w:rFonts w:ascii="Times New Roman" w:hAnsi="Times New Roman"/>
          <w:b/>
          <w:sz w:val="21"/>
        </w:rPr>
        <w:t>Ing. Diego Donado</w:t>
      </w:r>
    </w:p>
    <w:p>
      <w:pPr>
        <w:spacing w:before="0" w:after="100" w:line="240" w:lineRule="auto"/>
        <w:ind w:left="3800"/>
        <w:jc w:val="left"/>
      </w:pPr>
      <w:r>
        <w:rPr>
          <w:rFonts w:ascii="Times New Roman" w:hAnsi="Times New Roman"/>
          <w:sz w:val="20"/>
          <w:color w:val="475569"/>
        </w:rPr>
        <w:t>Para: Comando de Campaña El Gato Briceño</w:t>
      </w:r>
    </w:p>
    <w:p>
      <w:pPr>
        <w:spacing w:before="0" w:after="80" w:line="240" w:lineRule="auto"/>
      </w:pPr>
    </w:p>
    <w:p>
      <w:pPr>
        <w:spacing w:before="120" w:after="0" w:line="240" w:lineRule="auto"/>
        <w:jc w:val="center"/>
      </w:pPr>
      <w:r>
        <w:rPr>
          <w:rFonts w:ascii="Times New Roman" w:hAnsi="Times New Roman"/>
          <w:b/>
          <w:sz w:val="22"/>
        </w:rPr>
        <w:t>Maturín, septiembre de 2026</w:t>
      </w:r>
    </w:p>
    <w:p>
      <w:r>
        <w:br w:type="page"/>
      </w:r>
    </w:p>
    <w:p>
      <w:pPr>
        <w:spacing w:before="240" w:after="100" w:line="280" w:lineRule="auto"/>
        <w:jc w:val="center"/>
      </w:pPr>
      <w:r>
        <w:rPr>
          <w:rFonts w:ascii="Times New Roman" w:hAnsi="Times New Roman"/>
          <w:b/>
          <w:sz w:val="22"/>
          <w:szCs w:val="22"/>
          <w:color w:val="0F172A"/>
        </w:rPr>
        <w:t>CAPÍTULO I: DIAGNÓSTICO TÉCNICO Y MOTIVOS DE ACTUALIZACIÓN</w:t>
      </w:r>
    </w:p>
    <w:p>
      <w:pPr>
        <w:ind w:firstLine="567"/>
        <w:spacing w:before="0" w:after="80" w:line="280" w:lineRule="auto"/>
        <w:jc w:val="both"/>
      </w:pPr>
      <w:r>
        <w:rPr>
          <w:rFonts w:ascii="Times New Roman" w:hAnsi="Times New Roman"/>
          <w:b/>
          <w:sz w:val="23"/>
          <w:color w:val="0F172A"/>
        </w:rPr>
        <w:t xml:space="preserve">1.1. Contexto Operativo y Evolución de Amenazas. </w:t>
      </w:r>
      <w:r>
        <w:rPr>
          <w:rFonts w:ascii="Times New Roman" w:hAnsi="Times New Roman"/>
          <w:sz w:val="23"/>
          <w:szCs w:val="23"/>
          <w:color w:val="0F172A"/>
        </w:rPr>
        <w:t xml:space="preserve">En la planificación inicial de seguridad física para la plataforma de campaña y sala situacional MIGATO Monagas 2026, se formularon propuestas fundamentadas en el cifrado simétrico de discos mediante LUKS2 y el desbloqueo remoto condicionado a un servidor Tang alojado en un Cloud VPS. Si bien dicha aproximación neutralizaba el robo casual de unidades de estado sólido (SSD), las realidades operativas contemporáneas en Venezuela y la evolución de los métodos de allanamiento e inteligencia estatal obligan a una actualización integral y de vanguardia.</w:t>
      </w:r>
    </w:p>
    <w:p>
      <w:pPr>
        <w:ind w:firstLine="567"/>
        <w:spacing w:before="0" w:after="80" w:line="280" w:lineRule="auto"/>
        <w:jc w:val="both"/>
      </w:pPr>
      <w:r>
        <w:rPr>
          <w:rFonts w:ascii="Times New Roman" w:hAnsi="Times New Roman"/>
          <w:b/>
          <w:sz w:val="23"/>
          <w:color w:val="0F172A"/>
        </w:rPr>
        <w:t xml:space="preserve">1.2. Factores de Obsolescencia Identificados: </w:t>
      </w:r>
      <w:r>
        <w:rPr>
          <w:rFonts w:ascii="Times New Roman" w:hAnsi="Times New Roman"/>
          <w:sz w:val="23"/>
          <w:szCs w:val="23"/>
          <w:color w:val="0F172A"/>
        </w:rPr>
        <w:t xml:space="preserve">El análisis forense y de contrainteligencia evidencia cuatro factores críticos que tornaron obsoleto el modelo preliminar:</w:t>
      </w:r>
    </w:p>
    <w:p>
      <w:pPr>
        <w:ind w:left="567" w:hanging="283"/>
        <w:spacing w:before="0" w:after="60" w:line="280" w:lineRule="auto"/>
        <w:jc w:val="both"/>
      </w:pPr>
      <w:r>
        <w:rPr>
          <w:rFonts w:ascii="Times New Roman" w:hAnsi="Times New Roman"/>
          <w:b/>
          <w:sz w:val="22"/>
          <w:color w:val="0284C7"/>
        </w:rPr>
        <w:t xml:space="preserve">• </w:t>
      </w:r>
      <w:r>
        <w:rPr>
          <w:rFonts w:ascii="Times New Roman" w:hAnsi="Times New Roman"/>
          <w:b/>
          <w:sz w:val="22"/>
          <w:color w:val="0F172A"/>
        </w:rPr>
        <w:t xml:space="preserve">Vulnerabilidad de Punto Único de Falla (Single Point of Failure): </w:t>
      </w:r>
      <w:r>
        <w:rPr>
          <w:rFonts w:ascii="Times New Roman" w:hAnsi="Times New Roman"/>
          <w:sz w:val="22"/>
          <w:color w:val="1E293B"/>
        </w:rPr>
        <w:t>El protocolo Tang/Clevis convencional depende exclusivamente de que el servidor físico contacte la IP del Cloud VPS. Si los organismos del Estado ordenan a Cantv el bloqueo por BGP/IP del VPS o si el data center extranjero sufre una suspensión administrativa, el servidor local en Maturín queda inhabilitado para arrancar, dejando a la dirigencia a ciegas durante la jornada electoral.</w:t>
      </w:r>
    </w:p>
    <w:p>
      <w:pPr>
        <w:ind w:left="567" w:hanging="283"/>
        <w:spacing w:before="0" w:after="60" w:line="280" w:lineRule="auto"/>
        <w:jc w:val="both"/>
      </w:pPr>
      <w:r>
        <w:rPr>
          <w:rFonts w:ascii="Times New Roman" w:hAnsi="Times New Roman"/>
          <w:b/>
          <w:sz w:val="22"/>
          <w:color w:val="0284C7"/>
        </w:rPr>
        <w:t xml:space="preserve">• </w:t>
      </w:r>
      <w:r>
        <w:rPr>
          <w:rFonts w:ascii="Times New Roman" w:hAnsi="Times New Roman"/>
          <w:b/>
          <w:sz w:val="22"/>
          <w:color w:val="0F172A"/>
        </w:rPr>
        <w:t xml:space="preserve">Indefensión ante la Coacción Física Violenta (Rubber-Hose Cryptanalysis): </w:t>
      </w:r>
      <w:r>
        <w:rPr>
          <w:rFonts w:ascii="Times New Roman" w:hAnsi="Times New Roman"/>
          <w:sz w:val="22"/>
          <w:color w:val="1E293B"/>
        </w:rPr>
        <w:t>En los allanamientos reales ejecutados por cuerpos de seguridad (DGCIM / SEBIN), los funcionarios no se limitan a sustraer los equipos; someten a los técnicos presentes mediante intimidación armada para exigir las credenciales de acceso root y la frase de desbloqueo. Un cifrado estático tradicional coloca al operador entre la disyuntiva de arriesgar su integridad o entregar el padrón electoral completo.</w:t>
      </w:r>
    </w:p>
    <w:p>
      <w:pPr>
        <w:ind w:left="567" w:hanging="283"/>
        <w:spacing w:before="0" w:after="60" w:line="280" w:lineRule="auto"/>
        <w:jc w:val="both"/>
      </w:pPr>
      <w:r>
        <w:rPr>
          <w:rFonts w:ascii="Times New Roman" w:hAnsi="Times New Roman"/>
          <w:b/>
          <w:sz w:val="22"/>
          <w:color w:val="0284C7"/>
        </w:rPr>
        <w:t xml:space="preserve">• </w:t>
      </w:r>
      <w:r>
        <w:rPr>
          <w:rFonts w:ascii="Times New Roman" w:hAnsi="Times New Roman"/>
          <w:b/>
          <w:sz w:val="22"/>
          <w:color w:val="0F172A"/>
        </w:rPr>
        <w:t xml:space="preserve">Inspección Profunda de Paquetes (DPI) y Detección de WireGuard: </w:t>
      </w:r>
      <w:r>
        <w:rPr>
          <w:rFonts w:ascii="Times New Roman" w:hAnsi="Times New Roman"/>
          <w:sz w:val="22"/>
          <w:color w:val="1E293B"/>
        </w:rPr>
        <w:t>Los proveedores nacionales de telecomunicaciones emplean hardware de inspección DPI (Deep Packet Inspection) que identifica las firmas de paquetes UDP de WireGuard estándar en puertos conocidos (51820), permitiendo a los servicios de vigilancia triangular la ubicación física del nodo emisor en Maturín.</w:t>
      </w:r>
    </w:p>
    <w:p>
      <w:pPr>
        <w:ind w:left="567" w:hanging="283"/>
        <w:spacing w:before="0" w:after="60" w:line="280" w:lineRule="auto"/>
        <w:jc w:val="both"/>
      </w:pPr>
      <w:r>
        <w:rPr>
          <w:rFonts w:ascii="Times New Roman" w:hAnsi="Times New Roman"/>
          <w:b/>
          <w:sz w:val="22"/>
          <w:color w:val="0284C7"/>
        </w:rPr>
        <w:t xml:space="preserve">• </w:t>
      </w:r>
      <w:r>
        <w:rPr>
          <w:rFonts w:ascii="Times New Roman" w:hAnsi="Times New Roman"/>
          <w:b/>
          <w:sz w:val="22"/>
          <w:color w:val="0F172A"/>
        </w:rPr>
        <w:t xml:space="preserve">Persistencia de Datos en Caliente y Remanencia Magnética en SSD: </w:t>
      </w:r>
      <w:r>
        <w:rPr>
          <w:rFonts w:ascii="Times New Roman" w:hAnsi="Times New Roman"/>
          <w:sz w:val="22"/>
          <w:color w:val="1E293B"/>
        </w:rPr>
        <w:t>Mantener bases de datos transaccionales activas directamente sobre el almacenamiento persistente deja fragmentos no sobreescritos en los bloques de nivelación de desgaste (wear leveling) de los discos sólidos, permitiendo a laboratorios forenses (vía Cellebrite o distribuciones especializadas como Kali Linux) reconstruir registros históricos aun tras cortes eléctricos forzosos.</w:t>
      </w:r>
    </w:p>
    <w:p>
      <w:pPr>
        <w:spacing w:before="240" w:after="100" w:line="280" w:lineRule="auto"/>
        <w:jc w:val="center"/>
      </w:pPr>
      <w:r>
        <w:rPr>
          <w:rFonts w:ascii="Times New Roman" w:hAnsi="Times New Roman"/>
          <w:b/>
          <w:sz w:val="22"/>
          <w:szCs w:val="22"/>
          <w:color w:val="0F172A"/>
        </w:rPr>
        <w:t>CAPÍTULO II: PROPUESTAS TÉCNICAS ACTUALIZADAS DE PROTECCIÓN</w:t>
      </w:r>
    </w:p>
    <w:p>
      <w:pPr>
        <w:ind w:firstLine="567"/>
        <w:spacing w:before="0" w:after="80" w:line="280" w:lineRule="auto"/>
        <w:jc w:val="both"/>
      </w:pPr>
      <w:r>
        <w:rPr>
          <w:rFonts w:ascii="Times New Roman" w:hAnsi="Times New Roman"/>
          <w:b/>
          <w:sz w:val="23"/>
          <w:color w:val="0F172A"/>
        </w:rPr>
        <w:t xml:space="preserve">2.1. Arquitectura Defensiva Integral 2026. </w:t>
      </w:r>
      <w:r>
        <w:rPr>
          <w:rFonts w:ascii="Times New Roman" w:hAnsi="Times New Roman"/>
          <w:sz w:val="23"/>
          <w:szCs w:val="23"/>
          <w:color w:val="0F172A"/>
        </w:rPr>
        <w:t xml:space="preserve">A continuación se detallan las cuatro soluciones de blindaje rediseñadas para garantizar soberanía absoluta, resiliencia ante contingencias de red e inviolabilidad matemática bajo cualquier escenario de agresión física:</w:t>
      </w:r>
    </w:p>
    <w:tbl>
      <w:tblPr>
        <w:tblW w:w="5000" w:type="pct"/>
        <w:jc w:val="center"/>
        <w:tblBorders>
          <w:left w:val="single" w:sz="36" w:space="0" w:color="0284C7"/>
          <w:top w:val="single" w:sz="4" w:space="0" w:color="CBD5E1"/>
          <w:right w:val="single" w:sz="4" w:space="0" w:color="CBD5E1"/>
          <w:bottom w:val="single" w:sz="4" w:space="0" w:color="CBD5E1"/>
          <w:insideH w:val="none"/>
          <w:insideV w:val="none"/>
        </w:tblBorders>
        <w:tblCellMar>
          <w:top w:w="120" w:type="dxa"/>
          <w:left w:w="160" w:type="dxa"/>
          <w:bottom w:w="120" w:type="dxa"/>
          <w:right w:w="160" w:type="dxa"/>
        </w:tblCellMar>
      </w:tblPr>
      <w:tr>
        <w:tc>
          <w:tcPr>
            <w:shd w:val="clear" w:color="auto" w:fill="F8FAFC"/>
          </w:tcPr>
          <w:p>
            <w:pPr>
              <w:spacing w:before="0" w:after="30" w:line="220" w:lineRule="auto"/>
              <w:jc w:val="left"/>
            </w:pPr>
            <w:r>
              <w:rPr>
                <w:rFonts w:ascii="Times New Roman" w:hAnsi="Times New Roman"/>
                <w:b/>
                <w:sz w:val="15"/>
                <w:color w:val="64748B"/>
              </w:rPr>
              <w:t>ARQUITECTURA DE CIFRADO PRE-BOOT</w:t>
            </w:r>
          </w:p>
          <w:p>
            <w:pPr>
              <w:spacing w:before="0" w:after="80" w:line="260" w:lineRule="auto"/>
              <w:jc w:val="left"/>
            </w:pPr>
            <w:r>
              <w:rPr>
                <w:rFonts w:ascii="Times New Roman" w:hAnsi="Times New Roman"/>
                <w:b/>
                <w:sz w:val="21"/>
                <w:color w:val="0F172A"/>
              </w:rPr>
              <w:t>Propuesta Actualizada 1: Cifrado Tripartito Shamir (2-de-3 Secret Sharing)</w:t>
            </w:r>
          </w:p>
          <w:p>
            <w:pPr>
              <w:ind w:left="240" w:hanging="180"/>
              <w:spacing w:before="0" w:after="40" w:line="240" w:lineRule="auto"/>
              <w:jc w:val="both"/>
            </w:pPr>
            <w:r>
              <w:rPr>
                <w:rFonts w:ascii="Times New Roman" w:hAnsi="Times New Roman"/>
                <w:b/>
                <w:sz w:val="19"/>
                <w:color w:val="0284C7"/>
              </w:rPr>
              <w:t xml:space="preserve">▶ </w:t>
            </w:r>
            <w:r>
              <w:rPr>
                <w:rFonts w:ascii="Times New Roman" w:hAnsi="Times New Roman"/>
                <w:b/>
                <w:sz w:val="19"/>
                <w:color w:val="0F172A"/>
              </w:rPr>
              <w:t xml:space="preserve">Mecanismo Algorítmico: </w:t>
            </w:r>
            <w:r>
              <w:rPr>
                <w:rFonts w:ascii="Times New Roman" w:hAnsi="Times New Roman"/>
                <w:sz w:val="19"/>
                <w:color w:val="334155"/>
              </w:rPr>
              <w:t>La llave maestra del volumen LUKS2 de los SSDs en RAID 1 no reside íntegra en ningún dispositivo. Se fragmenta mediante el algoritmo de Secreto Compartido de Shamir (SSS) en 3 porciones matemáticas independientes.</w:t>
            </w:r>
          </w:p>
          <w:p>
            <w:pPr>
              <w:ind w:left="240" w:hanging="180"/>
              <w:spacing w:before="0" w:after="40" w:line="240" w:lineRule="auto"/>
              <w:jc w:val="both"/>
            </w:pPr>
            <w:r>
              <w:rPr>
                <w:rFonts w:ascii="Times New Roman" w:hAnsi="Times New Roman"/>
                <w:b/>
                <w:sz w:val="19"/>
                <w:color w:val="0284C7"/>
              </w:rPr>
              <w:t xml:space="preserve">▶ </w:t>
            </w:r>
            <w:r>
              <w:rPr>
                <w:rFonts w:ascii="Times New Roman" w:hAnsi="Times New Roman"/>
                <w:b/>
                <w:sz w:val="19"/>
                <w:color w:val="0F172A"/>
              </w:rPr>
              <w:t xml:space="preserve">Distribución de Fragmentos: </w:t>
            </w:r>
            <w:r>
              <w:rPr>
                <w:rFonts w:ascii="Times New Roman" w:hAnsi="Times New Roman"/>
                <w:sz w:val="19"/>
                <w:color w:val="334155"/>
              </w:rPr>
              <w:t>Fragmento 1: Custodiado en el Cloud VPS exterior con validación de IP limpia. Fragmento 2: Llave física hardware FIDO2 (YubiKey) o aplicación segura TOTP en custodia exclusiva del Ing. Diego Donado. Fragmento 3: Módulo de plataforma segura TPM 2.0 integrado en la placa madre del Dell OptiPlex.</w:t>
            </w:r>
          </w:p>
          <w:p>
            <w:pPr>
              <w:ind w:left="240" w:hanging="180"/>
              <w:spacing w:before="0" w:after="40" w:line="240" w:lineRule="auto"/>
              <w:jc w:val="both"/>
            </w:pPr>
            <w:r>
              <w:rPr>
                <w:rFonts w:ascii="Times New Roman" w:hAnsi="Times New Roman"/>
                <w:b/>
                <w:sz w:val="19"/>
                <w:color w:val="0284C7"/>
              </w:rPr>
              <w:t xml:space="preserve">▶ </w:t>
            </w:r>
            <w:r>
              <w:rPr>
                <w:rFonts w:ascii="Times New Roman" w:hAnsi="Times New Roman"/>
                <w:b/>
                <w:sz w:val="19"/>
                <w:color w:val="0F172A"/>
              </w:rPr>
              <w:t xml:space="preserve">Regla Operativa de Desbloqueo: </w:t>
            </w:r>
            <w:r>
              <w:rPr>
                <w:rFonts w:ascii="Times New Roman" w:hAnsi="Times New Roman"/>
                <w:sz w:val="19"/>
                <w:color w:val="334155"/>
              </w:rPr>
              <w:t>Para descifrar los discos al encender la máquina se requiere cualquier combinación de 2 de los 3 fragmentos (quórum 2-de-3).</w:t>
            </w:r>
          </w:p>
          <w:p>
            <w:pPr>
              <w:ind w:left="240" w:hanging="180"/>
              <w:spacing w:before="0" w:after="40" w:line="240" w:lineRule="auto"/>
              <w:jc w:val="both"/>
            </w:pPr>
            <w:r>
              <w:rPr>
                <w:rFonts w:ascii="Times New Roman" w:hAnsi="Times New Roman"/>
                <w:b/>
                <w:sz w:val="19"/>
                <w:color w:val="0284C7"/>
              </w:rPr>
              <w:t xml:space="preserve">▶ </w:t>
            </w:r>
            <w:r>
              <w:rPr>
                <w:rFonts w:ascii="Times New Roman" w:hAnsi="Times New Roman"/>
                <w:b/>
                <w:sz w:val="19"/>
                <w:color w:val="0F172A"/>
              </w:rPr>
              <w:t xml:space="preserve">Comportamiento ante Robo: </w:t>
            </w:r>
            <w:r>
              <w:rPr>
                <w:rFonts w:ascii="Times New Roman" w:hAnsi="Times New Roman"/>
                <w:sz w:val="19"/>
                <w:color w:val="334155"/>
              </w:rPr>
              <w:t>Si asaltantes o funcionarios sustraen el servidor físico o extraen los discos SSD, únicamente poseen el Fragmento 3 (TPM). Sin el Fragmento 1 o 2, los datos son indistinguibles de ruido blanco aleatorio.</w:t>
            </w:r>
          </w:p>
          <w:p>
            <w:pPr>
              <w:spacing w:before="60" w:after="20" w:line="240" w:lineRule="auto"/>
              <w:jc w:val="both"/>
            </w:pPr>
            <w:r>
              <w:rPr>
                <w:rFonts w:ascii="Times New Roman" w:hAnsi="Times New Roman"/>
                <w:b/>
                <w:sz w:val="18"/>
                <w:color w:val="047857"/>
              </w:rPr>
              <w:t xml:space="preserve">✔ IMPACTO EN SEGURIDAD: </w:t>
            </w:r>
            <w:r>
              <w:rPr>
                <w:rFonts w:ascii="Times New Roman" w:hAnsi="Times New Roman"/>
                <w:i/>
                <w:sz w:val="18"/>
                <w:color w:val="0F172A"/>
              </w:rPr>
              <w:t>Neutraliza el punto único de falla: Si bloquean internet o el Cloud VPS, el Ingeniero combina su llave personal (Fragmento 2) con el TPM local (Fragmento 3) y el servidor arranca de forma autónoma sin depender de la nube.</w:t>
            </w:r>
          </w:p>
        </w:tc>
      </w:tr>
    </w:tbl>
    <w:p>
      <w:pPr>
        <w:spacing w:after="100"/>
      </w:pPr>
    </w:p>
    <w:tbl>
      <w:tblPr>
        <w:tblW w:w="5000" w:type="pct"/>
        <w:jc w:val="center"/>
        <w:tblBorders>
          <w:left w:val="single" w:sz="36" w:space="0" w:color="0284C7"/>
          <w:top w:val="single" w:sz="4" w:space="0" w:color="CBD5E1"/>
          <w:right w:val="single" w:sz="4" w:space="0" w:color="CBD5E1"/>
          <w:bottom w:val="single" w:sz="4" w:space="0" w:color="CBD5E1"/>
          <w:insideH w:val="none"/>
          <w:insideV w:val="none"/>
        </w:tblBorders>
        <w:tblCellMar>
          <w:top w:w="120" w:type="dxa"/>
          <w:left w:w="160" w:type="dxa"/>
          <w:bottom w:w="120" w:type="dxa"/>
          <w:right w:w="160" w:type="dxa"/>
        </w:tblCellMar>
      </w:tblPr>
      <w:tr>
        <w:tc>
          <w:tcPr>
            <w:shd w:val="clear" w:color="auto" w:fill="F8FAFC"/>
          </w:tcPr>
          <w:p>
            <w:pPr>
              <w:spacing w:before="0" w:after="30" w:line="220" w:lineRule="auto"/>
              <w:jc w:val="left"/>
            </w:pPr>
            <w:r>
              <w:rPr>
                <w:rFonts w:ascii="Times New Roman" w:hAnsi="Times New Roman"/>
                <w:b/>
                <w:sz w:val="15"/>
                <w:color w:val="64748B"/>
              </w:rPr>
              <w:t>PROTECCIÓN CONTRA COACCIÓN Y ALLANAMIENTO ARMADO</w:t>
            </w:r>
          </w:p>
          <w:p>
            <w:pPr>
              <w:spacing w:before="0" w:after="80" w:line="260" w:lineRule="auto"/>
              <w:jc w:val="left"/>
            </w:pPr>
            <w:r>
              <w:rPr>
                <w:rFonts w:ascii="Times New Roman" w:hAnsi="Times New Roman"/>
                <w:b/>
                <w:sz w:val="21"/>
                <w:color w:val="0F172A"/>
              </w:rPr>
              <w:t>Propuesta Actualizada 2: Clave de Coacción y Purga Criptográfica Instantánea</w:t>
            </w:r>
          </w:p>
          <w:p>
            <w:pPr>
              <w:ind w:left="240" w:hanging="180"/>
              <w:spacing w:before="0" w:after="40" w:line="240" w:lineRule="auto"/>
              <w:jc w:val="both"/>
            </w:pPr>
            <w:r>
              <w:rPr>
                <w:rFonts w:ascii="Times New Roman" w:hAnsi="Times New Roman"/>
                <w:b/>
                <w:sz w:val="19"/>
                <w:color w:val="0284C7"/>
              </w:rPr>
              <w:t xml:space="preserve">▶ </w:t>
            </w:r>
            <w:r>
              <w:rPr>
                <w:rFonts w:ascii="Times New Roman" w:hAnsi="Times New Roman"/>
                <w:b/>
                <w:sz w:val="19"/>
                <w:color w:val="0F172A"/>
              </w:rPr>
              <w:t xml:space="preserve">Principio de Negabilidad Plausible: </w:t>
            </w:r>
            <w:r>
              <w:rPr>
                <w:rFonts w:ascii="Times New Roman" w:hAnsi="Times New Roman"/>
                <w:sz w:val="19"/>
                <w:color w:val="334155"/>
              </w:rPr>
              <w:t>El gestor de arranque (GRUB) y el pre-arranque LUKS2 se configuran con dos contraseñas distintas que conducen a comportamientos diametralmente opuestos.</w:t>
            </w:r>
          </w:p>
          <w:p>
            <w:pPr>
              <w:ind w:left="240" w:hanging="180"/>
              <w:spacing w:before="0" w:after="40" w:line="240" w:lineRule="auto"/>
              <w:jc w:val="both"/>
            </w:pPr>
            <w:r>
              <w:rPr>
                <w:rFonts w:ascii="Times New Roman" w:hAnsi="Times New Roman"/>
                <w:b/>
                <w:sz w:val="19"/>
                <w:color w:val="0284C7"/>
              </w:rPr>
              <w:t xml:space="preserve">▶ </w:t>
            </w:r>
            <w:r>
              <w:rPr>
                <w:rFonts w:ascii="Times New Roman" w:hAnsi="Times New Roman"/>
                <w:b/>
                <w:sz w:val="19"/>
                <w:color w:val="0F172A"/>
              </w:rPr>
              <w:t xml:space="preserve">Contraseña Real de Producción: </w:t>
            </w:r>
            <w:r>
              <w:rPr>
                <w:rFonts w:ascii="Times New Roman" w:hAnsi="Times New Roman"/>
                <w:sz w:val="19"/>
                <w:color w:val="334155"/>
              </w:rPr>
              <w:t>Arranca el sistema operativo Ubuntu Server de MIGATO, monta el RAID 1 y levanta los servicios de la Sala Situacional.</w:t>
            </w:r>
          </w:p>
          <w:p>
            <w:pPr>
              <w:ind w:left="240" w:hanging="180"/>
              <w:spacing w:before="0" w:after="40" w:line="240" w:lineRule="auto"/>
              <w:jc w:val="both"/>
            </w:pPr>
            <w:r>
              <w:rPr>
                <w:rFonts w:ascii="Times New Roman" w:hAnsi="Times New Roman"/>
                <w:b/>
                <w:sz w:val="19"/>
                <w:color w:val="0284C7"/>
              </w:rPr>
              <w:t xml:space="preserve">▶ </w:t>
            </w:r>
            <w:r>
              <w:rPr>
                <w:rFonts w:ascii="Times New Roman" w:hAnsi="Times New Roman"/>
                <w:b/>
                <w:sz w:val="19"/>
                <w:color w:val="0F172A"/>
              </w:rPr>
              <w:t xml:space="preserve">Contraseña de Coacción (Duress Key): </w:t>
            </w:r>
            <w:r>
              <w:rPr>
                <w:rFonts w:ascii="Times New Roman" w:hAnsi="Times New Roman"/>
                <w:sz w:val="19"/>
                <w:color w:val="334155"/>
              </w:rPr>
              <w:t>Destinada a ser entregada bajo amenaza armada. Al teclearse, un binario ligero en memoria ejecuta inmediatamente 'cryptsetup luksErase', sobreescribiendo las 32 ranuras de cabecera en menos de 80 milisegundos.</w:t>
            </w:r>
          </w:p>
          <w:p>
            <w:pPr>
              <w:ind w:left="240" w:hanging="180"/>
              <w:spacing w:before="0" w:after="40" w:line="240" w:lineRule="auto"/>
              <w:jc w:val="both"/>
            </w:pPr>
            <w:r>
              <w:rPr>
                <w:rFonts w:ascii="Times New Roman" w:hAnsi="Times New Roman"/>
                <w:b/>
                <w:sz w:val="19"/>
                <w:color w:val="0284C7"/>
              </w:rPr>
              <w:t xml:space="preserve">▶ </w:t>
            </w:r>
            <w:r>
              <w:rPr>
                <w:rFonts w:ascii="Times New Roman" w:hAnsi="Times New Roman"/>
                <w:b/>
                <w:sz w:val="19"/>
                <w:color w:val="0F172A"/>
              </w:rPr>
              <w:t xml:space="preserve">Despliegue de Sistema Señuelo (Honeypot OS): </w:t>
            </w:r>
            <w:r>
              <w:rPr>
                <w:rFonts w:ascii="Times New Roman" w:hAnsi="Times New Roman"/>
                <w:sz w:val="19"/>
                <w:color w:val="334155"/>
              </w:rPr>
              <w:t>Acto seguido, la máquina arranca un entorno gráfico civil inocuo (escritorio contable comercial genérico con facturas de repuestos o inventarios ordinarios), dejando a los captores con un sistema funcional pero sin el menor rastro de datos políticos.</w:t>
            </w:r>
          </w:p>
          <w:p>
            <w:pPr>
              <w:spacing w:before="60" w:after="20" w:line="240" w:lineRule="auto"/>
              <w:jc w:val="both"/>
            </w:pPr>
            <w:r>
              <w:rPr>
                <w:rFonts w:ascii="Times New Roman" w:hAnsi="Times New Roman"/>
                <w:b/>
                <w:sz w:val="18"/>
                <w:color w:val="047857"/>
              </w:rPr>
              <w:t xml:space="preserve">✔ IMPACTO EN SEGURIDAD: </w:t>
            </w:r>
            <w:r>
              <w:rPr>
                <w:rFonts w:ascii="Times New Roman" w:hAnsi="Times New Roman"/>
                <w:i/>
                <w:sz w:val="18"/>
                <w:color w:val="0F172A"/>
              </w:rPr>
              <w:t>Protección de la vida humana y destrucción irreversible de la información: El borrado de cabecera hace matemáticamente imposible recuperar los datos incluso para agencias de inteligencia con supercomputadores, mientras que el señuelo protege al técnico de represalias físicas inmediatas.</w:t>
            </w:r>
          </w:p>
        </w:tc>
      </w:tr>
    </w:tbl>
    <w:p>
      <w:pPr>
        <w:spacing w:after="100"/>
      </w:pPr>
    </w:p>
    <w:tbl>
      <w:tblPr>
        <w:tblW w:w="5000" w:type="pct"/>
        <w:jc w:val="center"/>
        <w:tblBorders>
          <w:left w:val="single" w:sz="36" w:space="0" w:color="0284C7"/>
          <w:top w:val="single" w:sz="4" w:space="0" w:color="CBD5E1"/>
          <w:right w:val="single" w:sz="4" w:space="0" w:color="CBD5E1"/>
          <w:bottom w:val="single" w:sz="4" w:space="0" w:color="CBD5E1"/>
          <w:insideH w:val="none"/>
          <w:insideV w:val="none"/>
        </w:tblBorders>
        <w:tblCellMar>
          <w:top w:w="120" w:type="dxa"/>
          <w:left w:w="160" w:type="dxa"/>
          <w:bottom w:w="120" w:type="dxa"/>
          <w:right w:w="160" w:type="dxa"/>
        </w:tblCellMar>
      </w:tblPr>
      <w:tr>
        <w:tc>
          <w:tcPr>
            <w:shd w:val="clear" w:color="auto" w:fill="F8FAFC"/>
          </w:tcPr>
          <w:p>
            <w:pPr>
              <w:spacing w:before="0" w:after="30" w:line="220" w:lineRule="auto"/>
              <w:jc w:val="left"/>
            </w:pPr>
            <w:r>
              <w:rPr>
                <w:rFonts w:ascii="Times New Roman" w:hAnsi="Times New Roman"/>
                <w:b/>
                <w:sz w:val="15"/>
                <w:color w:val="64748B"/>
              </w:rPr>
              <w:t>BLINDAJE TRANSACCIONAL Y ANTI-FORENSE</w:t>
            </w:r>
          </w:p>
          <w:p>
            <w:pPr>
              <w:spacing w:before="0" w:after="80" w:line="260" w:lineRule="auto"/>
              <w:jc w:val="left"/>
            </w:pPr>
            <w:r>
              <w:rPr>
                <w:rFonts w:ascii="Times New Roman" w:hAnsi="Times New Roman"/>
                <w:b/>
                <w:sz w:val="21"/>
                <w:color w:val="0F172A"/>
              </w:rPr>
              <w:t>Propuesta Actualizada 3: Motor de Datos en Memoria Volátil RAM con Sello Asimétrico</w:t>
            </w:r>
          </w:p>
          <w:p>
            <w:pPr>
              <w:ind w:left="240" w:hanging="180"/>
              <w:spacing w:before="0" w:after="40" w:line="240" w:lineRule="auto"/>
              <w:jc w:val="both"/>
            </w:pPr>
            <w:r>
              <w:rPr>
                <w:rFonts w:ascii="Times New Roman" w:hAnsi="Times New Roman"/>
                <w:b/>
                <w:sz w:val="19"/>
                <w:color w:val="0284C7"/>
              </w:rPr>
              <w:t xml:space="preserve">▶ </w:t>
            </w:r>
            <w:r>
              <w:rPr>
                <w:rFonts w:ascii="Times New Roman" w:hAnsi="Times New Roman"/>
                <w:b/>
                <w:sz w:val="19"/>
                <w:color w:val="0F172A"/>
              </w:rPr>
              <w:t xml:space="preserve">Operación Transaccional en tmpfs: </w:t>
            </w:r>
            <w:r>
              <w:rPr>
                <w:rFonts w:ascii="Times New Roman" w:hAnsi="Times New Roman"/>
                <w:sz w:val="19"/>
                <w:color w:val="334155"/>
              </w:rPr>
              <w:t>El motor de base de datos y la recepción de actas operan en una partición montada en memoria RAM volátil (RAM-Disk tmpfs). Ningún registro nominal o territorial en caliente se escribe en los discos sólidos.</w:t>
            </w:r>
          </w:p>
          <w:p>
            <w:pPr>
              <w:ind w:left="240" w:hanging="180"/>
              <w:spacing w:before="0" w:after="40" w:line="240" w:lineRule="auto"/>
              <w:jc w:val="both"/>
            </w:pPr>
            <w:r>
              <w:rPr>
                <w:rFonts w:ascii="Times New Roman" w:hAnsi="Times New Roman"/>
                <w:b/>
                <w:sz w:val="19"/>
                <w:color w:val="0284C7"/>
              </w:rPr>
              <w:t xml:space="preserve">▶ </w:t>
            </w:r>
            <w:r>
              <w:rPr>
                <w:rFonts w:ascii="Times New Roman" w:hAnsi="Times New Roman"/>
                <w:b/>
                <w:sz w:val="19"/>
                <w:color w:val="0F172A"/>
              </w:rPr>
              <w:t xml:space="preserve">Extinción de Datos por Interrupción Eléctrica: </w:t>
            </w:r>
            <w:r>
              <w:rPr>
                <w:rFonts w:ascii="Times New Roman" w:hAnsi="Times New Roman"/>
                <w:sz w:val="19"/>
                <w:color w:val="334155"/>
              </w:rPr>
              <w:t>Ante la inminencia de un allanamiento, un operador solo debe accionar el pulsador de corte de emergencia de la UPS Epcom o desconectar el cable de alimentación. Al perder energía la memoria dinámica (DRAM), el contenido se evapora en nanosegundos a nivel cuántico.</w:t>
            </w:r>
          </w:p>
          <w:p>
            <w:pPr>
              <w:ind w:left="240" w:hanging="180"/>
              <w:spacing w:before="0" w:after="40" w:line="240" w:lineRule="auto"/>
              <w:jc w:val="both"/>
            </w:pPr>
            <w:r>
              <w:rPr>
                <w:rFonts w:ascii="Times New Roman" w:hAnsi="Times New Roman"/>
                <w:b/>
                <w:sz w:val="19"/>
                <w:color w:val="0284C7"/>
              </w:rPr>
              <w:t xml:space="preserve">▶ </w:t>
            </w:r>
            <w:r>
              <w:rPr>
                <w:rFonts w:ascii="Times New Roman" w:hAnsi="Times New Roman"/>
                <w:b/>
                <w:sz w:val="19"/>
                <w:color w:val="0F172A"/>
              </w:rPr>
              <w:t xml:space="preserve">Respaldos Asimétricos Sellados (GPG 4.096 bits): </w:t>
            </w:r>
            <w:r>
              <w:rPr>
                <w:rFonts w:ascii="Times New Roman" w:hAnsi="Times New Roman"/>
                <w:sz w:val="19"/>
                <w:color w:val="334155"/>
              </w:rPr>
              <w:t>Los respaldos periódicos se generan como paquetes sellados con la Llave Pública del partido. La Llave Privada requerida para abrir dichos paquetes reside exclusivamente fuera del país en custodia del Dr. José Gregorio 'El Gato' Briceño.</w:t>
            </w:r>
          </w:p>
          <w:p>
            <w:pPr>
              <w:spacing w:before="60" w:after="20" w:line="240" w:lineRule="auto"/>
              <w:jc w:val="both"/>
            </w:pPr>
            <w:r>
              <w:rPr>
                <w:rFonts w:ascii="Times New Roman" w:hAnsi="Times New Roman"/>
                <w:b/>
                <w:sz w:val="18"/>
                <w:color w:val="047857"/>
              </w:rPr>
              <w:t xml:space="preserve">✔ IMPACTO EN SEGURIDAD: </w:t>
            </w:r>
            <w:r>
              <w:rPr>
                <w:rFonts w:ascii="Times New Roman" w:hAnsi="Times New Roman"/>
                <w:i/>
                <w:sz w:val="18"/>
                <w:color w:val="0F172A"/>
              </w:rPr>
              <w:t>Cero remanencia magnética en hardware local: Si incautan el equipo apagado o desconectado, los discos solo contienen bloques vacíos o respaldos históricos sellados que nadie en Venezuela puede descifrar.</w:t>
            </w:r>
          </w:p>
        </w:tc>
      </w:tr>
    </w:tbl>
    <w:p>
      <w:pPr>
        <w:spacing w:after="100"/>
      </w:pPr>
    </w:p>
    <w:tbl>
      <w:tblPr>
        <w:tblW w:w="5000" w:type="pct"/>
        <w:jc w:val="center"/>
        <w:tblBorders>
          <w:left w:val="single" w:sz="36" w:space="0" w:color="0284C7"/>
          <w:top w:val="single" w:sz="4" w:space="0" w:color="CBD5E1"/>
          <w:right w:val="single" w:sz="4" w:space="0" w:color="CBD5E1"/>
          <w:bottom w:val="single" w:sz="4" w:space="0" w:color="CBD5E1"/>
          <w:insideH w:val="none"/>
          <w:insideV w:val="none"/>
        </w:tblBorders>
        <w:tblCellMar>
          <w:top w:w="120" w:type="dxa"/>
          <w:left w:w="160" w:type="dxa"/>
          <w:bottom w:w="120" w:type="dxa"/>
          <w:right w:w="160" w:type="dxa"/>
        </w:tblCellMar>
      </w:tblPr>
      <w:tr>
        <w:tc>
          <w:tcPr>
            <w:shd w:val="clear" w:color="auto" w:fill="F8FAFC"/>
          </w:tcPr>
          <w:p>
            <w:pPr>
              <w:spacing w:before="0" w:after="30" w:line="220" w:lineRule="auto"/>
              <w:jc w:val="left"/>
            </w:pPr>
            <w:r>
              <w:rPr>
                <w:rFonts w:ascii="Times New Roman" w:hAnsi="Times New Roman"/>
                <w:b/>
                <w:sz w:val="15"/>
                <w:color w:val="64748B"/>
              </w:rPr>
              <w:t>SEGURIDAD DE RED E INVISIBILIDAD PERIMETRAL</w:t>
            </w:r>
          </w:p>
          <w:p>
            <w:pPr>
              <w:spacing w:before="0" w:after="80" w:line="260" w:lineRule="auto"/>
              <w:jc w:val="left"/>
            </w:pPr>
            <w:r>
              <w:rPr>
                <w:rFonts w:ascii="Times New Roman" w:hAnsi="Times New Roman"/>
                <w:b/>
                <w:sz w:val="21"/>
                <w:color w:val="0F172A"/>
              </w:rPr>
              <w:t>Propuesta Actualizada 4: Enrutamiento Sigiloso Camuflado Anti-DPI (MikroTik + WSS)</w:t>
            </w:r>
          </w:p>
          <w:p>
            <w:pPr>
              <w:ind w:left="240" w:hanging="180"/>
              <w:spacing w:before="0" w:after="40" w:line="240" w:lineRule="auto"/>
              <w:jc w:val="both"/>
            </w:pPr>
            <w:r>
              <w:rPr>
                <w:rFonts w:ascii="Times New Roman" w:hAnsi="Times New Roman"/>
                <w:b/>
                <w:sz w:val="19"/>
                <w:color w:val="0284C7"/>
              </w:rPr>
              <w:t xml:space="preserve">▶ </w:t>
            </w:r>
            <w:r>
              <w:rPr>
                <w:rFonts w:ascii="Times New Roman" w:hAnsi="Times New Roman"/>
                <w:b/>
                <w:sz w:val="19"/>
                <w:color w:val="0F172A"/>
              </w:rPr>
              <w:t xml:space="preserve">Encapsulamiento de Túnel en WebSocket TLS 1.3: </w:t>
            </w:r>
            <w:r>
              <w:rPr>
                <w:rFonts w:ascii="Times New Roman" w:hAnsi="Times New Roman"/>
                <w:sz w:val="19"/>
                <w:color w:val="334155"/>
              </w:rPr>
              <w:t>El Gateway MikroTik hEX RB750Gr3 encapsula el túnel privado dentro de conexiones estándar HTTPS sobre el puerto 443, utilizando extensiones ECH (Encrypted Client Hello) y simulación de tráfico web de alta reputación.</w:t>
            </w:r>
          </w:p>
          <w:p>
            <w:pPr>
              <w:ind w:left="240" w:hanging="180"/>
              <w:spacing w:before="0" w:after="40" w:line="240" w:lineRule="auto"/>
              <w:jc w:val="both"/>
            </w:pPr>
            <w:r>
              <w:rPr>
                <w:rFonts w:ascii="Times New Roman" w:hAnsi="Times New Roman"/>
                <w:b/>
                <w:sz w:val="19"/>
                <w:color w:val="0284C7"/>
              </w:rPr>
              <w:t xml:space="preserve">▶ </w:t>
            </w:r>
            <w:r>
              <w:rPr>
                <w:rFonts w:ascii="Times New Roman" w:hAnsi="Times New Roman"/>
                <w:b/>
                <w:sz w:val="19"/>
                <w:color w:val="0F172A"/>
              </w:rPr>
              <w:t xml:space="preserve">Inmunidad ante Filtros de Cantv / Conatel: </w:t>
            </w:r>
            <w:r>
              <w:rPr>
                <w:rFonts w:ascii="Times New Roman" w:hAnsi="Times New Roman"/>
                <w:sz w:val="19"/>
                <w:color w:val="334155"/>
              </w:rPr>
              <w:t>Para los sistemas de inspección profunda de paquetes (DPI) de las empresas estatales, el tráfico emitido desde la sede de Maturín es completamente idéntico a una navegación de usuario consumiendo video institucional o navegando en la banca electrónica.</w:t>
            </w:r>
          </w:p>
          <w:p>
            <w:pPr>
              <w:ind w:left="240" w:hanging="180"/>
              <w:spacing w:before="0" w:after="40" w:line="240" w:lineRule="auto"/>
              <w:jc w:val="both"/>
            </w:pPr>
            <w:r>
              <w:rPr>
                <w:rFonts w:ascii="Times New Roman" w:hAnsi="Times New Roman"/>
                <w:b/>
                <w:sz w:val="19"/>
                <w:color w:val="0284C7"/>
              </w:rPr>
              <w:t xml:space="preserve">▶ </w:t>
            </w:r>
            <w:r>
              <w:rPr>
                <w:rFonts w:ascii="Times New Roman" w:hAnsi="Times New Roman"/>
                <w:b/>
                <w:sz w:val="19"/>
                <w:color w:val="0F172A"/>
              </w:rPr>
              <w:t xml:space="preserve">Aislamiento Total de Dirección IP: </w:t>
            </w:r>
            <w:r>
              <w:rPr>
                <w:rFonts w:ascii="Times New Roman" w:hAnsi="Times New Roman"/>
                <w:sz w:val="19"/>
                <w:color w:val="334155"/>
              </w:rPr>
              <w:t>El servidor físico no posee ninguna dirección IP pública asignada ni abre puertos hacia el exterior. Todas las solicitudes de los testigos en los 13 municipios son recibidas por el Cloud VPS y canalizadas silenciosamente a través del túnel camuflado.</w:t>
            </w:r>
          </w:p>
          <w:p>
            <w:pPr>
              <w:spacing w:before="60" w:after="20" w:line="240" w:lineRule="auto"/>
              <w:jc w:val="both"/>
            </w:pPr>
            <w:r>
              <w:rPr>
                <w:rFonts w:ascii="Times New Roman" w:hAnsi="Times New Roman"/>
                <w:b/>
                <w:sz w:val="18"/>
                <w:color w:val="047857"/>
              </w:rPr>
              <w:t xml:space="preserve">✔ IMPACTO EN SEGURIDAD: </w:t>
            </w:r>
            <w:r>
              <w:rPr>
                <w:rFonts w:ascii="Times New Roman" w:hAnsi="Times New Roman"/>
                <w:i/>
                <w:sz w:val="18"/>
                <w:color w:val="0F172A"/>
              </w:rPr>
              <w:t>Imposibilidad de geolocalización o bloqueo selectivo: La Sala Situacional opera en modo espectro, inmune a las listas de bloqueo de protocolos VPN de los organismos de censura digital.</w:t>
            </w:r>
          </w:p>
        </w:tc>
      </w:tr>
    </w:tbl>
    <w:p>
      <w:pPr>
        <w:spacing w:after="100"/>
      </w:pPr>
    </w:p>
    <w:p>
      <w:pPr>
        <w:spacing w:before="240" w:after="100" w:line="280" w:lineRule="auto"/>
        <w:jc w:val="center"/>
      </w:pPr>
      <w:r>
        <w:rPr>
          <w:rFonts w:ascii="Times New Roman" w:hAnsi="Times New Roman"/>
          <w:b/>
          <w:sz w:val="22"/>
          <w:szCs w:val="22"/>
          <w:color w:val="0F172A"/>
        </w:rPr>
        <w:t>CAPÍTULO III: EVALUACIÓN COMPARATIVA DE RESILIENCIA</w:t>
      </w:r>
    </w:p>
    <w:p>
      <w:pPr>
        <w:ind w:firstLine="567"/>
        <w:spacing w:before="0" w:after="80" w:line="280" w:lineRule="auto"/>
        <w:jc w:val="both"/>
      </w:pPr>
      <w:r>
        <w:rPr>
          <w:rFonts w:ascii="Times New Roman" w:hAnsi="Times New Roman"/>
          <w:b/>
          <w:sz w:val="23"/>
          <w:color w:val="0F172A"/>
        </w:rPr>
        <w:t xml:space="preserve">3.1. Matriz de Resiliencia Comparada. </w:t>
      </w:r>
      <w:r>
        <w:rPr>
          <w:rFonts w:ascii="Times New Roman" w:hAnsi="Times New Roman"/>
          <w:sz w:val="23"/>
          <w:szCs w:val="23"/>
          <w:color w:val="0F172A"/>
        </w:rPr>
        <w:t xml:space="preserve">A continuación se evalúa el nivel de respuesta y protección de la infraestructura ante los vectores de amenaza más severos, contrastando el modelo preliminar con la arquitectura de vanguardia actualizada:</w:t>
      </w:r>
    </w:p>
    <w:tbl>
      <w:tblPr>
        <w:tblW w:w="5000" w:type="pct"/>
        <w:jc w:val="center"/>
        <w:tblBorders>
          <w:top w:val="none"/>
          <w:left w:val="none"/>
          <w:right w:val="none"/>
          <w:bottom w:val="none"/>
          <w:insideH w:val="none"/>
          <w:insideV w:val="none"/>
        </w:tblBorders>
      </w:tblPr>
      <w:tr>
        <w:trPr>
          <w:tblHeader/>
        </w:trPr>
        <w:tc>
          <w:tcPr>
            <w:tcBorders>
              <w:top w:val="single" w:sz="12" w:space="0" w:color="0F172A"/>
              <w:bottom w:val="single" w:sz="12" w:space="0" w:color="0F172A"/>
              <w:left w:val="none"/>
              <w:right w:val="none"/>
            </w:tcBorders>
            <w:shd w:val="clear" w:color="auto" w:fill="F1F5F9"/>
            <w:tcMar>
              <w:top w:w="120"/>
              <w:bottom w:w="120"/>
              <w:left w:w="140"/>
              <w:right w:w="140"/>
            </w:tcMar>
          </w:tcPr>
          <w:p>
            <w:pPr>
              <w:jc w:val="left"/>
              <w:spacing w:after="0" w:line="220" w:lineRule="auto"/>
            </w:pPr>
            <w:r>
              <w:rPr>
                <w:rFonts w:ascii="Times New Roman" w:hAnsi="Times New Roman"/>
                <w:b/>
                <w:color w:val="0F172A"/>
                <w:sz w:val="18"/>
              </w:rPr>
              <w:t>Vector de Amenaza / Incidente</w:t>
            </w:r>
          </w:p>
        </w:tc>
        <w:tc>
          <w:tcPr>
            <w:tcBorders>
              <w:top w:val="single" w:sz="12" w:space="0" w:color="0F172A"/>
              <w:bottom w:val="single" w:sz="12" w:space="0" w:color="0F172A"/>
              <w:left w:val="none"/>
              <w:right w:val="none"/>
            </w:tcBorders>
            <w:shd w:val="clear" w:color="auto" w:fill="F1F5F9"/>
            <w:tcMar>
              <w:top w:w="120"/>
              <w:bottom w:w="120"/>
              <w:left w:w="140"/>
              <w:right w:w="140"/>
            </w:tcMar>
          </w:tcPr>
          <w:p>
            <w:pPr>
              <w:jc w:val="center"/>
              <w:spacing w:after="0" w:line="220" w:lineRule="auto"/>
            </w:pPr>
            <w:r>
              <w:rPr>
                <w:rFonts w:ascii="Times New Roman" w:hAnsi="Times New Roman"/>
                <w:b/>
                <w:color w:val="0F172A"/>
                <w:sz w:val="18"/>
              </w:rPr>
              <w:t>Modelo Preliminar (Desactualizado)</w:t>
            </w:r>
          </w:p>
        </w:tc>
        <w:tc>
          <w:tcPr>
            <w:tcBorders>
              <w:top w:val="single" w:sz="12" w:space="0" w:color="0F172A"/>
              <w:bottom w:val="single" w:sz="12" w:space="0" w:color="0F172A"/>
              <w:left w:val="none"/>
              <w:right w:val="none"/>
            </w:tcBorders>
            <w:shd w:val="clear" w:color="auto" w:fill="F1F5F9"/>
            <w:tcMar>
              <w:top w:w="120"/>
              <w:bottom w:w="120"/>
              <w:left w:w="140"/>
              <w:right w:w="140"/>
            </w:tcMar>
          </w:tcPr>
          <w:p>
            <w:pPr>
              <w:jc w:val="center"/>
              <w:spacing w:after="0" w:line="220" w:lineRule="auto"/>
            </w:pPr>
            <w:r>
              <w:rPr>
                <w:rFonts w:ascii="Times New Roman" w:hAnsi="Times New Roman"/>
                <w:b/>
                <w:color w:val="0F172A"/>
                <w:sz w:val="18"/>
              </w:rPr>
              <w:t>Arquitectura Actualizada (2026)</w:t>
            </w:r>
          </w:p>
        </w:tc>
        <w:tc>
          <w:tcPr>
            <w:tcBorders>
              <w:top w:val="single" w:sz="12" w:space="0" w:color="0F172A"/>
              <w:bottom w:val="single" w:sz="12" w:space="0" w:color="0F172A"/>
              <w:left w:val="none"/>
              <w:right w:val="none"/>
            </w:tcBorders>
            <w:shd w:val="clear" w:color="auto" w:fill="F1F5F9"/>
            <w:tcMar>
              <w:top w:w="120"/>
              <w:bottom w:w="120"/>
              <w:left w:w="140"/>
              <w:right w:w="140"/>
            </w:tcMar>
          </w:tcPr>
          <w:p>
            <w:pPr>
              <w:jc w:val="center"/>
              <w:spacing w:after="0" w:line="220" w:lineRule="auto"/>
            </w:pPr>
            <w:r>
              <w:rPr>
                <w:rFonts w:ascii="Times New Roman" w:hAnsi="Times New Roman"/>
                <w:b/>
                <w:color w:val="0F172A"/>
                <w:sz w:val="18"/>
              </w:rPr>
              <w:t>Nivel de Protección</w:t>
            </w:r>
          </w:p>
        </w:tc>
      </w:tr>
      <w:tr>
        <w:tc>
          <w:tcPr>
            <w:tcBorders>
              <w:top w:val="none"/>
              <w:bottom w:val="single" w:sz="4" w:space="0" w:color="E2E8F0"/>
              <w:left w:val="none"/>
              <w:right w:val="none"/>
            </w:tcBorders>
            <w:tcMar>
              <w:top w:w="90"/>
              <w:bottom w:w="90"/>
              <w:left w:w="140"/>
              <w:right w:w="140"/>
            </w:tcMar>
          </w:tcPr>
          <w:p>
            <w:pPr>
              <w:jc w:val="left"/>
              <w:spacing w:after="0" w:line="220" w:lineRule="auto"/>
            </w:pPr>
            <w:r>
              <w:rPr>
                <w:rFonts w:ascii="Times New Roman" w:hAnsi="Times New Roman"/>
                <w:b/>
                <w:color w:val="0F172A"/>
                <w:sz w:val="18"/>
              </w:rPr>
              <w:t>Sustracción física de discos SSD</w:t>
            </w:r>
          </w:p>
        </w:tc>
        <w:tc>
          <w:tcPr>
            <w:tcBorders>
              <w:top w:val="none"/>
              <w:bottom w:val="single" w:sz="4" w:space="0" w:color="E2E8F0"/>
              <w:left w:val="none"/>
              <w:right w:val="none"/>
            </w:tcBorders>
            <w:tcMar>
              <w:top w:w="90"/>
              <w:bottom w:w="90"/>
              <w:left w:w="140"/>
              <w:right w:w="140"/>
            </w:tcMar>
          </w:tcPr>
          <w:p>
            <w:pPr>
              <w:jc w:val="left"/>
              <w:spacing w:after="0" w:line="220" w:lineRule="auto"/>
            </w:pPr>
            <w:r>
              <w:rPr>
                <w:rFonts w:ascii="Times New Roman" w:hAnsi="Times New Roman"/>
                <w:color w:val="0F172A"/>
                <w:sz w:val="18"/>
              </w:rPr>
              <w:t>Cifrado LUKS dependiente de Tang (Vulnerable si cae VPS)</w:t>
            </w:r>
          </w:p>
        </w:tc>
        <w:tc>
          <w:tcPr>
            <w:tcBorders>
              <w:top w:val="none"/>
              <w:bottom w:val="single" w:sz="4" w:space="0" w:color="E2E8F0"/>
              <w:left w:val="none"/>
              <w:right w:val="none"/>
            </w:tcBorders>
            <w:tcMar>
              <w:top w:w="90"/>
              <w:bottom w:w="90"/>
              <w:left w:w="140"/>
              <w:right w:w="140"/>
            </w:tcMar>
          </w:tcPr>
          <w:p>
            <w:pPr>
              <w:jc w:val="center"/>
              <w:spacing w:after="0" w:line="220" w:lineRule="auto"/>
            </w:pPr>
            <w:r>
              <w:rPr>
                <w:rFonts w:ascii="Times New Roman" w:hAnsi="Times New Roman"/>
                <w:color w:val="0F172A"/>
                <w:sz w:val="18"/>
              </w:rPr>
              <w:t>Cifrado Shamir 2-de-3 (TPM + Llave Móvil + VPS)</w:t>
            </w:r>
          </w:p>
        </w:tc>
        <w:tc>
          <w:tcPr>
            <w:tcBorders>
              <w:top w:val="none"/>
              <w:bottom w:val="single" w:sz="4" w:space="0" w:color="E2E8F0"/>
              <w:left w:val="none"/>
              <w:right w:val="none"/>
            </w:tcBorders>
            <w:tcMar>
              <w:top w:w="90"/>
              <w:bottom w:w="90"/>
              <w:left w:w="140"/>
              <w:right w:w="140"/>
            </w:tcMar>
          </w:tcPr>
          <w:p>
            <w:pPr>
              <w:jc w:val="right"/>
              <w:spacing w:after="0" w:line="220" w:lineRule="auto"/>
            </w:pPr>
            <w:r>
              <w:rPr>
                <w:rFonts w:ascii="Times New Roman" w:hAnsi="Times New Roman"/>
                <w:color w:val="0F172A"/>
                <w:sz w:val="18"/>
              </w:rPr>
              <w:t>Absoluto (100% ruido matemático)</w:t>
            </w:r>
          </w:p>
        </w:tc>
      </w:tr>
      <w:tr>
        <w:tc>
          <w:tcPr>
            <w:tcBorders>
              <w:top w:val="none"/>
              <w:bottom w:val="single" w:sz="4" w:space="0" w:color="E2E8F0"/>
              <w:left w:val="none"/>
              <w:right w:val="none"/>
            </w:tcBorders>
            <w:tcMar>
              <w:top w:w="90"/>
              <w:bottom w:w="90"/>
              <w:left w:w="140"/>
              <w:right w:w="140"/>
            </w:tcMar>
          </w:tcPr>
          <w:p>
            <w:pPr>
              <w:jc w:val="left"/>
              <w:spacing w:after="0" w:line="220" w:lineRule="auto"/>
            </w:pPr>
            <w:r>
              <w:rPr>
                <w:rFonts w:ascii="Times New Roman" w:hAnsi="Times New Roman"/>
                <w:b/>
                <w:color w:val="0F172A"/>
                <w:sz w:val="18"/>
              </w:rPr>
              <w:t>Allanamiento violento con coacción armada</w:t>
            </w:r>
          </w:p>
        </w:tc>
        <w:tc>
          <w:tcPr>
            <w:tcBorders>
              <w:top w:val="none"/>
              <w:bottom w:val="single" w:sz="4" w:space="0" w:color="E2E8F0"/>
              <w:left w:val="none"/>
              <w:right w:val="none"/>
            </w:tcBorders>
            <w:tcMar>
              <w:top w:w="90"/>
              <w:bottom w:w="90"/>
              <w:left w:w="140"/>
              <w:right w:w="140"/>
            </w:tcMar>
          </w:tcPr>
          <w:p>
            <w:pPr>
              <w:jc w:val="left"/>
              <w:spacing w:after="0" w:line="220" w:lineRule="auto"/>
            </w:pPr>
            <w:r>
              <w:rPr>
                <w:rFonts w:ascii="Times New Roman" w:hAnsi="Times New Roman"/>
                <w:color w:val="0F172A"/>
                <w:sz w:val="18"/>
              </w:rPr>
              <w:t>Sin mecanismo de respuesta (Riesgo de tortura o delación)</w:t>
            </w:r>
          </w:p>
        </w:tc>
        <w:tc>
          <w:tcPr>
            <w:tcBorders>
              <w:top w:val="none"/>
              <w:bottom w:val="single" w:sz="4" w:space="0" w:color="E2E8F0"/>
              <w:left w:val="none"/>
              <w:right w:val="none"/>
            </w:tcBorders>
            <w:tcMar>
              <w:top w:w="90"/>
              <w:bottom w:w="90"/>
              <w:left w:w="140"/>
              <w:right w:w="140"/>
            </w:tcMar>
          </w:tcPr>
          <w:p>
            <w:pPr>
              <w:jc w:val="center"/>
              <w:spacing w:after="0" w:line="220" w:lineRule="auto"/>
            </w:pPr>
            <w:r>
              <w:rPr>
                <w:rFonts w:ascii="Times New Roman" w:hAnsi="Times New Roman"/>
                <w:color w:val="0F172A"/>
                <w:sz w:val="18"/>
              </w:rPr>
              <w:t>Clave de Coacción + Purga en 80ms + SO Señuelo</w:t>
            </w:r>
          </w:p>
        </w:tc>
        <w:tc>
          <w:tcPr>
            <w:tcBorders>
              <w:top w:val="none"/>
              <w:bottom w:val="single" w:sz="4" w:space="0" w:color="E2E8F0"/>
              <w:left w:val="none"/>
              <w:right w:val="none"/>
            </w:tcBorders>
            <w:tcMar>
              <w:top w:w="90"/>
              <w:bottom w:w="90"/>
              <w:left w:w="140"/>
              <w:right w:w="140"/>
            </w:tcMar>
          </w:tcPr>
          <w:p>
            <w:pPr>
              <w:jc w:val="center"/>
              <w:spacing w:after="0" w:line="220" w:lineRule="auto"/>
            </w:pPr>
            <w:r>
              <w:rPr>
                <w:rFonts w:ascii="Times New Roman" w:hAnsi="Times New Roman"/>
                <w:color w:val="0F172A"/>
                <w:sz w:val="18"/>
              </w:rPr>
              <w:t>Crítico (Salva vidas y sella la data)</w:t>
            </w:r>
          </w:p>
        </w:tc>
      </w:tr>
      <w:tr>
        <w:tc>
          <w:tcPr>
            <w:tcBorders>
              <w:top w:val="none"/>
              <w:bottom w:val="single" w:sz="4" w:space="0" w:color="E2E8F0"/>
              <w:left w:val="none"/>
              <w:right w:val="none"/>
            </w:tcBorders>
            <w:tcMar>
              <w:top w:w="90"/>
              <w:bottom w:w="90"/>
              <w:left w:w="140"/>
              <w:right w:w="140"/>
            </w:tcMar>
          </w:tcPr>
          <w:p>
            <w:pPr>
              <w:jc w:val="left"/>
              <w:spacing w:after="0" w:line="220" w:lineRule="auto"/>
            </w:pPr>
            <w:r>
              <w:rPr>
                <w:rFonts w:ascii="Times New Roman" w:hAnsi="Times New Roman"/>
                <w:b/>
                <w:color w:val="0F172A"/>
                <w:sz w:val="18"/>
              </w:rPr>
              <w:t>Bloqueo de IP del VPS por Cantv/Conatel</w:t>
            </w:r>
          </w:p>
        </w:tc>
        <w:tc>
          <w:tcPr>
            <w:tcBorders>
              <w:top w:val="none"/>
              <w:bottom w:val="single" w:sz="4" w:space="0" w:color="E2E8F0"/>
              <w:left w:val="none"/>
              <w:right w:val="none"/>
            </w:tcBorders>
            <w:tcMar>
              <w:top w:w="90"/>
              <w:bottom w:w="90"/>
              <w:left w:w="140"/>
              <w:right w:w="140"/>
            </w:tcMar>
          </w:tcPr>
          <w:p>
            <w:pPr>
              <w:jc w:val="left"/>
              <w:spacing w:after="0" w:line="220" w:lineRule="auto"/>
            </w:pPr>
            <w:r>
              <w:rPr>
                <w:rFonts w:ascii="Times New Roman" w:hAnsi="Times New Roman"/>
                <w:color w:val="0F172A"/>
                <w:sz w:val="18"/>
              </w:rPr>
              <w:t>Servidor físico no arranca (Parálisis operativa)</w:t>
            </w:r>
          </w:p>
        </w:tc>
        <w:tc>
          <w:tcPr>
            <w:tcBorders>
              <w:top w:val="none"/>
              <w:bottom w:val="single" w:sz="4" w:space="0" w:color="E2E8F0"/>
              <w:left w:val="none"/>
              <w:right w:val="none"/>
            </w:tcBorders>
            <w:tcMar>
              <w:top w:w="90"/>
              <w:bottom w:w="90"/>
              <w:left w:w="140"/>
              <w:right w:w="140"/>
            </w:tcMar>
          </w:tcPr>
          <w:p>
            <w:pPr>
              <w:jc w:val="center"/>
              <w:spacing w:after="0" w:line="220" w:lineRule="auto"/>
            </w:pPr>
            <w:r>
              <w:rPr>
                <w:rFonts w:ascii="Times New Roman" w:hAnsi="Times New Roman"/>
                <w:color w:val="0F172A"/>
                <w:sz w:val="18"/>
              </w:rPr>
              <w:t>Arranque autónomo con Llave Local + TPM</w:t>
            </w:r>
          </w:p>
        </w:tc>
        <w:tc>
          <w:tcPr>
            <w:tcBorders>
              <w:top w:val="none"/>
              <w:bottom w:val="single" w:sz="4" w:space="0" w:color="E2E8F0"/>
              <w:left w:val="none"/>
              <w:right w:val="none"/>
            </w:tcBorders>
            <w:tcMar>
              <w:top w:w="90"/>
              <w:bottom w:w="90"/>
              <w:left w:w="140"/>
              <w:right w:w="140"/>
            </w:tcMar>
          </w:tcPr>
          <w:p>
            <w:pPr>
              <w:jc w:val="center"/>
              <w:spacing w:after="0" w:line="220" w:lineRule="auto"/>
            </w:pPr>
            <w:r>
              <w:rPr>
                <w:rFonts w:ascii="Times New Roman" w:hAnsi="Times New Roman"/>
                <w:color w:val="0F172A"/>
                <w:sz w:val="18"/>
              </w:rPr>
              <w:t>Operatividad Continua Garantizada</w:t>
            </w:r>
          </w:p>
        </w:tc>
      </w:tr>
      <w:tr>
        <w:tc>
          <w:tcPr>
            <w:tcBorders>
              <w:top w:val="none"/>
              <w:bottom w:val="single" w:sz="4" w:space="0" w:color="E2E8F0"/>
              <w:left w:val="none"/>
              <w:right w:val="none"/>
            </w:tcBorders>
            <w:tcMar>
              <w:top w:w="90"/>
              <w:bottom w:w="90"/>
              <w:left w:w="140"/>
              <w:right w:w="140"/>
            </w:tcMar>
          </w:tcPr>
          <w:p>
            <w:pPr>
              <w:jc w:val="left"/>
              <w:spacing w:after="0" w:line="220" w:lineRule="auto"/>
            </w:pPr>
            <w:r>
              <w:rPr>
                <w:rFonts w:ascii="Times New Roman" w:hAnsi="Times New Roman"/>
                <w:b/>
                <w:color w:val="0F172A"/>
                <w:sz w:val="18"/>
              </w:rPr>
              <w:t>Inspección de Tráfico DPI estatal</w:t>
            </w:r>
          </w:p>
        </w:tc>
        <w:tc>
          <w:tcPr>
            <w:tcBorders>
              <w:top w:val="none"/>
              <w:bottom w:val="single" w:sz="4" w:space="0" w:color="E2E8F0"/>
              <w:left w:val="none"/>
              <w:right w:val="none"/>
            </w:tcBorders>
            <w:tcMar>
              <w:top w:w="90"/>
              <w:bottom w:w="90"/>
              <w:left w:w="140"/>
              <w:right w:w="140"/>
            </w:tcMar>
          </w:tcPr>
          <w:p>
            <w:pPr>
              <w:jc w:val="left"/>
              <w:spacing w:after="0" w:line="220" w:lineRule="auto"/>
            </w:pPr>
            <w:r>
              <w:rPr>
                <w:rFonts w:ascii="Times New Roman" w:hAnsi="Times New Roman"/>
                <w:color w:val="0F172A"/>
                <w:sz w:val="18"/>
              </w:rPr>
              <w:t>Túnel WireGuard UDP detectable y bloqueable</w:t>
            </w:r>
          </w:p>
        </w:tc>
        <w:tc>
          <w:tcPr>
            <w:tcBorders>
              <w:top w:val="none"/>
              <w:bottom w:val="single" w:sz="4" w:space="0" w:color="E2E8F0"/>
              <w:left w:val="none"/>
              <w:right w:val="none"/>
            </w:tcBorders>
            <w:tcMar>
              <w:top w:w="90"/>
              <w:bottom w:w="90"/>
              <w:left w:w="140"/>
              <w:right w:w="140"/>
            </w:tcMar>
          </w:tcPr>
          <w:p>
            <w:pPr>
              <w:jc w:val="center"/>
              <w:spacing w:after="0" w:line="220" w:lineRule="auto"/>
            </w:pPr>
            <w:r>
              <w:rPr>
                <w:rFonts w:ascii="Times New Roman" w:hAnsi="Times New Roman"/>
                <w:color w:val="0F172A"/>
                <w:sz w:val="18"/>
              </w:rPr>
              <w:t>Túnel camuflado en WebSocket HTTPS (Puerto 443)</w:t>
            </w:r>
          </w:p>
        </w:tc>
        <w:tc>
          <w:tcPr>
            <w:tcBorders>
              <w:top w:val="none"/>
              <w:bottom w:val="single" w:sz="4" w:space="0" w:color="E2E8F0"/>
              <w:left w:val="none"/>
              <w:right w:val="none"/>
            </w:tcBorders>
            <w:tcMar>
              <w:top w:w="90"/>
              <w:bottom w:w="90"/>
              <w:left w:w="140"/>
              <w:right w:w="140"/>
            </w:tcMar>
          </w:tcPr>
          <w:p>
            <w:pPr>
              <w:jc w:val="center"/>
              <w:spacing w:after="0" w:line="220" w:lineRule="auto"/>
            </w:pPr>
            <w:r>
              <w:rPr>
                <w:rFonts w:ascii="Times New Roman" w:hAnsi="Times New Roman"/>
                <w:color w:val="0F172A"/>
                <w:sz w:val="18"/>
              </w:rPr>
              <w:t>Invisibilidad Total ante Operadoras</w:t>
            </w:r>
          </w:p>
        </w:tc>
      </w:tr>
      <w:tr>
        <w:tc>
          <w:tcPr>
            <w:tcBorders>
              <w:top w:val="none"/>
              <w:bottom w:val="single" w:sz="12" w:space="0" w:color="0F172A"/>
              <w:left w:val="none"/>
              <w:right w:val="none"/>
            </w:tcBorders>
            <w:tcMar>
              <w:top w:w="90"/>
              <w:bottom w:w="90"/>
              <w:left w:w="140"/>
              <w:right w:w="140"/>
            </w:tcMar>
          </w:tcPr>
          <w:p>
            <w:pPr>
              <w:jc w:val="left"/>
              <w:spacing w:after="0" w:line="220" w:lineRule="auto"/>
            </w:pPr>
            <w:r>
              <w:rPr>
                <w:rFonts w:ascii="Times New Roman" w:hAnsi="Times New Roman"/>
                <w:b/>
                <w:color w:val="0F172A"/>
                <w:sz w:val="18"/>
              </w:rPr>
              <w:t>Análisis Forense con Kali / Cellebrite</w:t>
            </w:r>
          </w:p>
        </w:tc>
        <w:tc>
          <w:tcPr>
            <w:tcBorders>
              <w:top w:val="none"/>
              <w:bottom w:val="single" w:sz="12" w:space="0" w:color="0F172A"/>
              <w:left w:val="none"/>
              <w:right w:val="none"/>
            </w:tcBorders>
            <w:tcMar>
              <w:top w:w="90"/>
              <w:bottom w:w="90"/>
              <w:left w:w="140"/>
              <w:right w:w="140"/>
            </w:tcMar>
          </w:tcPr>
          <w:p>
            <w:pPr>
              <w:jc w:val="left"/>
              <w:spacing w:after="0" w:line="220" w:lineRule="auto"/>
            </w:pPr>
            <w:r>
              <w:rPr>
                <w:rFonts w:ascii="Times New Roman" w:hAnsi="Times New Roman"/>
                <w:b/>
                <w:color w:val="0F172A"/>
                <w:sz w:val="18"/>
              </w:rPr>
              <w:t>Datos remanentes recuperables en sectores de disco</w:t>
            </w:r>
          </w:p>
        </w:tc>
        <w:tc>
          <w:tcPr>
            <w:tcBorders>
              <w:top w:val="none"/>
              <w:bottom w:val="single" w:sz="12" w:space="0" w:color="0F172A"/>
              <w:left w:val="none"/>
              <w:right w:val="none"/>
            </w:tcBorders>
            <w:tcMar>
              <w:top w:w="90"/>
              <w:bottom w:w="90"/>
              <w:left w:w="140"/>
              <w:right w:w="140"/>
            </w:tcMar>
          </w:tcPr>
          <w:p>
            <w:pPr>
              <w:jc w:val="center"/>
              <w:spacing w:after="0" w:line="220" w:lineRule="auto"/>
            </w:pPr>
            <w:r>
              <w:rPr>
                <w:rFonts w:ascii="Times New Roman" w:hAnsi="Times New Roman"/>
                <w:b/>
                <w:color w:val="0F172A"/>
                <w:sz w:val="18"/>
              </w:rPr>
              <w:t>Base de datos en RAM (tmpfs) volátil al desconectar</w:t>
            </w:r>
          </w:p>
        </w:tc>
        <w:tc>
          <w:tcPr>
            <w:tcBorders>
              <w:top w:val="none"/>
              <w:bottom w:val="single" w:sz="12" w:space="0" w:color="0F172A"/>
              <w:left w:val="none"/>
              <w:right w:val="none"/>
            </w:tcBorders>
            <w:tcMar>
              <w:top w:w="90"/>
              <w:bottom w:w="90"/>
              <w:left w:w="140"/>
              <w:right w:w="140"/>
            </w:tcMar>
          </w:tcPr>
          <w:p>
            <w:pPr>
              <w:jc w:val="center"/>
              <w:spacing w:after="0" w:line="220" w:lineRule="auto"/>
            </w:pPr>
            <w:r>
              <w:rPr>
                <w:rFonts w:ascii="Times New Roman" w:hAnsi="Times New Roman"/>
                <w:b/>
                <w:color w:val="0F172A"/>
                <w:sz w:val="18"/>
              </w:rPr>
              <w:t>Cero Remanencia Forense</w:t>
            </w:r>
          </w:p>
        </w:tc>
      </w:tr>
    </w:tbl>
    <w:p>
      <w:pPr>
        <w:spacing w:before="40" w:after="120" w:line="220" w:lineRule="auto"/>
        <w:jc w:val="left"/>
      </w:pPr>
      <w:r>
        <w:rPr>
          <w:rFonts w:ascii="Times New Roman" w:hAnsi="Times New Roman"/>
          <w:i/>
          <w:sz w:val="16"/>
          <w:color w:val="64748B"/>
        </w:rPr>
        <w:t>Nota. Evaluación de ciberdefensa elaborada bajo estándares NIST SP 800-88 (Sanitización de Medios) e ISO/IEC 27001 para la infraestructura física de MIGATO 2026.</w:t>
      </w:r>
    </w:p>
    <w:p>
      <w:pPr>
        <w:spacing w:before="240" w:after="100" w:line="280" w:lineRule="auto"/>
        <w:jc w:val="center"/>
      </w:pPr>
      <w:r>
        <w:rPr>
          <w:rFonts w:ascii="Times New Roman" w:hAnsi="Times New Roman"/>
          <w:b/>
          <w:sz w:val="22"/>
          <w:szCs w:val="22"/>
          <w:color w:val="0F172A"/>
        </w:rPr>
        <w:t>CAPÍTULO IV: ANÁLISIS DE COSTOS E IMPLEMENTACIÓN</w:t>
      </w:r>
    </w:p>
    <w:p>
      <w:pPr>
        <w:ind w:firstLine="567"/>
        <w:spacing w:before="0" w:after="80" w:line="280" w:lineRule="auto"/>
        <w:jc w:val="both"/>
      </w:pPr>
      <w:r>
        <w:rPr>
          <w:rFonts w:ascii="Times New Roman" w:hAnsi="Times New Roman"/>
          <w:b/>
          <w:sz w:val="23"/>
          <w:color w:val="0F172A"/>
        </w:rPr>
        <w:t xml:space="preserve">4.1. Eficiencia Presupuestaria Soberana. </w:t>
      </w:r>
      <w:r>
        <w:rPr>
          <w:rFonts w:ascii="Times New Roman" w:hAnsi="Times New Roman"/>
          <w:sz w:val="23"/>
          <w:szCs w:val="23"/>
          <w:color w:val="0F172A"/>
        </w:rPr>
        <w:t xml:space="preserve">Uno de los atributos estratégicos más relevantes de la presente actualización radica en que su implementación es estrictamente arquitectónica y algorítmica. No requiere la adquisición de tarjetas propietarias, racks industriales ni componentes importados con sobreprecio.</w:t>
      </w:r>
    </w:p>
    <w:tbl>
      <w:tblPr>
        <w:tblW w:w="5000" w:type="pct"/>
        <w:jc w:val="center"/>
        <w:tblBorders>
          <w:top w:val="none"/>
          <w:left w:val="none"/>
          <w:right w:val="none"/>
          <w:bottom w:val="none"/>
          <w:insideH w:val="none"/>
          <w:insideV w:val="none"/>
        </w:tblBorders>
      </w:tblPr>
      <w:tr>
        <w:trPr>
          <w:tblHeader/>
        </w:trPr>
        <w:tc>
          <w:tcPr>
            <w:tcBorders>
              <w:top w:val="single" w:sz="12" w:space="0" w:color="0F172A"/>
              <w:bottom w:val="single" w:sz="12" w:space="0" w:color="0F172A"/>
              <w:left w:val="none"/>
              <w:right w:val="none"/>
            </w:tcBorders>
            <w:shd w:val="clear" w:color="auto" w:fill="F1F5F9"/>
            <w:tcMar>
              <w:top w:w="120"/>
              <w:bottom w:w="120"/>
              <w:left w:w="140"/>
              <w:right w:w="140"/>
            </w:tcMar>
          </w:tcPr>
          <w:p>
            <w:pPr>
              <w:jc w:val="left"/>
              <w:spacing w:after="0" w:line="220" w:lineRule="auto"/>
            </w:pPr>
            <w:r>
              <w:rPr>
                <w:rFonts w:ascii="Times New Roman" w:hAnsi="Times New Roman"/>
                <w:b/>
                <w:color w:val="0F172A"/>
                <w:sz w:val="18"/>
              </w:rPr>
              <w:t>Componente Arquitectónico</w:t>
            </w:r>
          </w:p>
        </w:tc>
        <w:tc>
          <w:tcPr>
            <w:tcBorders>
              <w:top w:val="single" w:sz="12" w:space="0" w:color="0F172A"/>
              <w:bottom w:val="single" w:sz="12" w:space="0" w:color="0F172A"/>
              <w:left w:val="none"/>
              <w:right w:val="none"/>
            </w:tcBorders>
            <w:shd w:val="clear" w:color="auto" w:fill="F1F5F9"/>
            <w:tcMar>
              <w:top w:w="120"/>
              <w:bottom w:w="120"/>
              <w:left w:w="140"/>
              <w:right w:w="140"/>
            </w:tcMar>
          </w:tcPr>
          <w:p>
            <w:pPr>
              <w:jc w:val="center"/>
              <w:spacing w:after="0" w:line="220" w:lineRule="auto"/>
            </w:pPr>
            <w:r>
              <w:rPr>
                <w:rFonts w:ascii="Times New Roman" w:hAnsi="Times New Roman"/>
                <w:b/>
                <w:color w:val="0F172A"/>
                <w:sz w:val="18"/>
              </w:rPr>
              <w:t>Herramienta Tecnológica Utilizada</w:t>
            </w:r>
          </w:p>
        </w:tc>
        <w:tc>
          <w:tcPr>
            <w:tcBorders>
              <w:top w:val="single" w:sz="12" w:space="0" w:color="0F172A"/>
              <w:bottom w:val="single" w:sz="12" w:space="0" w:color="0F172A"/>
              <w:left w:val="none"/>
              <w:right w:val="none"/>
            </w:tcBorders>
            <w:shd w:val="clear" w:color="auto" w:fill="F1F5F9"/>
            <w:tcMar>
              <w:top w:w="120"/>
              <w:bottom w:w="120"/>
              <w:left w:w="140"/>
              <w:right w:w="140"/>
            </w:tcMar>
          </w:tcPr>
          <w:p>
            <w:pPr>
              <w:jc w:val="center"/>
              <w:spacing w:after="0" w:line="220" w:lineRule="auto"/>
            </w:pPr>
            <w:r>
              <w:rPr>
                <w:rFonts w:ascii="Times New Roman" w:hAnsi="Times New Roman"/>
                <w:b/>
                <w:color w:val="0F172A"/>
                <w:sz w:val="18"/>
              </w:rPr>
              <w:t>Licenciamiento</w:t>
            </w:r>
          </w:p>
        </w:tc>
        <w:tc>
          <w:tcPr>
            <w:tcBorders>
              <w:top w:val="single" w:sz="12" w:space="0" w:color="0F172A"/>
              <w:bottom w:val="single" w:sz="12" w:space="0" w:color="0F172A"/>
              <w:left w:val="none"/>
              <w:right w:val="none"/>
            </w:tcBorders>
            <w:shd w:val="clear" w:color="auto" w:fill="F1F5F9"/>
            <w:tcMar>
              <w:top w:w="120"/>
              <w:bottom w:w="120"/>
              <w:left w:w="140"/>
              <w:right w:w="140"/>
            </w:tcMar>
          </w:tcPr>
          <w:p>
            <w:pPr>
              <w:jc w:val="right"/>
              <w:spacing w:after="0" w:line="220" w:lineRule="auto"/>
            </w:pPr>
            <w:r>
              <w:rPr>
                <w:rFonts w:ascii="Times New Roman" w:hAnsi="Times New Roman"/>
                <w:b/>
                <w:color w:val="0F172A"/>
                <w:sz w:val="18"/>
              </w:rPr>
              <w:t>Costo Adicional (USD)</w:t>
            </w:r>
          </w:p>
        </w:tc>
      </w:tr>
      <w:tr>
        <w:tc>
          <w:tcPr>
            <w:tcBorders>
              <w:top w:val="none"/>
              <w:bottom w:val="single" w:sz="4" w:space="0" w:color="E2E8F0"/>
              <w:left w:val="none"/>
              <w:right w:val="none"/>
            </w:tcBorders>
            <w:tcMar>
              <w:top w:w="90"/>
              <w:bottom w:w="90"/>
              <w:left w:w="140"/>
              <w:right w:w="140"/>
            </w:tcMar>
          </w:tcPr>
          <w:p>
            <w:pPr>
              <w:jc w:val="left"/>
              <w:spacing w:after="0" w:line="220" w:lineRule="auto"/>
            </w:pPr>
            <w:r>
              <w:rPr>
                <w:rFonts w:ascii="Times New Roman" w:hAnsi="Times New Roman"/>
                <w:b/>
                <w:color w:val="0F172A"/>
                <w:sz w:val="18"/>
              </w:rPr>
              <w:t>Algoritmo Secreto Compartido</w:t>
            </w:r>
          </w:p>
        </w:tc>
        <w:tc>
          <w:tcPr>
            <w:tcBorders>
              <w:top w:val="none"/>
              <w:bottom w:val="single" w:sz="4" w:space="0" w:color="E2E8F0"/>
              <w:left w:val="none"/>
              <w:right w:val="none"/>
            </w:tcBorders>
            <w:tcMar>
              <w:top w:w="90"/>
              <w:bottom w:w="90"/>
              <w:left w:w="140"/>
              <w:right w:w="140"/>
            </w:tcMar>
          </w:tcPr>
          <w:p>
            <w:pPr>
              <w:jc w:val="left"/>
              <w:spacing w:after="0" w:line="220" w:lineRule="auto"/>
            </w:pPr>
            <w:r>
              <w:rPr>
                <w:rFonts w:ascii="Times New Roman" w:hAnsi="Times New Roman"/>
                <w:color w:val="0F172A"/>
                <w:sz w:val="18"/>
              </w:rPr>
              <w:t>Shamir Secret Sharing (libgfshare / Clevis SSS)</w:t>
            </w:r>
          </w:p>
        </w:tc>
        <w:tc>
          <w:tcPr>
            <w:tcBorders>
              <w:top w:val="none"/>
              <w:bottom w:val="single" w:sz="4" w:space="0" w:color="E2E8F0"/>
              <w:left w:val="none"/>
              <w:right w:val="none"/>
            </w:tcBorders>
            <w:tcMar>
              <w:top w:w="90"/>
              <w:bottom w:w="90"/>
              <w:left w:w="140"/>
              <w:right w:w="140"/>
            </w:tcMar>
          </w:tcPr>
          <w:p>
            <w:pPr>
              <w:jc w:val="center"/>
              <w:spacing w:after="0" w:line="220" w:lineRule="auto"/>
            </w:pPr>
            <w:r>
              <w:rPr>
                <w:rFonts w:ascii="Times New Roman" w:hAnsi="Times New Roman"/>
                <w:color w:val="0F172A"/>
                <w:sz w:val="18"/>
              </w:rPr>
              <w:t>Open Source (GPLv3)</w:t>
            </w:r>
          </w:p>
        </w:tc>
        <w:tc>
          <w:tcPr>
            <w:tcBorders>
              <w:top w:val="none"/>
              <w:bottom w:val="single" w:sz="4" w:space="0" w:color="E2E8F0"/>
              <w:left w:val="none"/>
              <w:right w:val="none"/>
            </w:tcBorders>
            <w:tcMar>
              <w:top w:w="90"/>
              <w:bottom w:w="90"/>
              <w:left w:w="140"/>
              <w:right w:w="140"/>
            </w:tcMar>
          </w:tcPr>
          <w:p>
            <w:pPr>
              <w:jc w:val="right"/>
              <w:spacing w:after="0" w:line="220" w:lineRule="auto"/>
            </w:pPr>
            <w:r>
              <w:rPr>
                <w:rFonts w:ascii="Times New Roman" w:hAnsi="Times New Roman"/>
                <w:color w:val="0F172A"/>
                <w:sz w:val="18"/>
              </w:rPr>
              <w:t>$0.00 USD</w:t>
            </w:r>
          </w:p>
        </w:tc>
      </w:tr>
      <w:tr>
        <w:tc>
          <w:tcPr>
            <w:tcBorders>
              <w:top w:val="none"/>
              <w:bottom w:val="single" w:sz="4" w:space="0" w:color="E2E8F0"/>
              <w:left w:val="none"/>
              <w:right w:val="none"/>
            </w:tcBorders>
            <w:tcMar>
              <w:top w:w="90"/>
              <w:bottom w:w="90"/>
              <w:left w:w="140"/>
              <w:right w:w="140"/>
            </w:tcMar>
          </w:tcPr>
          <w:p>
            <w:pPr>
              <w:jc w:val="left"/>
              <w:spacing w:after="0" w:line="220" w:lineRule="auto"/>
            </w:pPr>
            <w:r>
              <w:rPr>
                <w:rFonts w:ascii="Times New Roman" w:hAnsi="Times New Roman"/>
                <w:b/>
                <w:color w:val="0F172A"/>
                <w:sz w:val="18"/>
              </w:rPr>
              <w:t>Clave de Coacción y Honeypot</w:t>
            </w:r>
          </w:p>
        </w:tc>
        <w:tc>
          <w:tcPr>
            <w:tcBorders>
              <w:top w:val="none"/>
              <w:bottom w:val="single" w:sz="4" w:space="0" w:color="E2E8F0"/>
              <w:left w:val="none"/>
              <w:right w:val="none"/>
            </w:tcBorders>
            <w:tcMar>
              <w:top w:w="90"/>
              <w:bottom w:w="90"/>
              <w:left w:w="140"/>
              <w:right w:w="140"/>
            </w:tcMar>
          </w:tcPr>
          <w:p>
            <w:pPr>
              <w:jc w:val="left"/>
              <w:spacing w:after="0" w:line="220" w:lineRule="auto"/>
            </w:pPr>
            <w:r>
              <w:rPr>
                <w:rFonts w:ascii="Times New Roman" w:hAnsi="Times New Roman"/>
                <w:color w:val="0F172A"/>
                <w:sz w:val="18"/>
              </w:rPr>
              <w:t>cryptsetup luksErase + Script pre-boot initramfs</w:t>
            </w:r>
          </w:p>
        </w:tc>
        <w:tc>
          <w:tcPr>
            <w:tcBorders>
              <w:top w:val="none"/>
              <w:bottom w:val="single" w:sz="4" w:space="0" w:color="E2E8F0"/>
              <w:left w:val="none"/>
              <w:right w:val="none"/>
            </w:tcBorders>
            <w:tcMar>
              <w:top w:w="90"/>
              <w:bottom w:w="90"/>
              <w:left w:w="140"/>
              <w:right w:w="140"/>
            </w:tcMar>
          </w:tcPr>
          <w:p>
            <w:pPr>
              <w:jc w:val="center"/>
              <w:spacing w:after="0" w:line="220" w:lineRule="auto"/>
            </w:pPr>
            <w:r>
              <w:rPr>
                <w:rFonts w:ascii="Times New Roman" w:hAnsi="Times New Roman"/>
                <w:color w:val="0F172A"/>
                <w:sz w:val="18"/>
              </w:rPr>
              <w:t>Nativo Linux</w:t>
            </w:r>
          </w:p>
        </w:tc>
        <w:tc>
          <w:tcPr>
            <w:tcBorders>
              <w:top w:val="none"/>
              <w:bottom w:val="single" w:sz="4" w:space="0" w:color="E2E8F0"/>
              <w:left w:val="none"/>
              <w:right w:val="none"/>
            </w:tcBorders>
            <w:tcMar>
              <w:top w:w="90"/>
              <w:bottom w:w="90"/>
              <w:left w:w="140"/>
              <w:right w:w="140"/>
            </w:tcMar>
          </w:tcPr>
          <w:p>
            <w:pPr>
              <w:jc w:val="right"/>
              <w:spacing w:after="0" w:line="220" w:lineRule="auto"/>
            </w:pPr>
            <w:r>
              <w:rPr>
                <w:rFonts w:ascii="Times New Roman" w:hAnsi="Times New Roman"/>
                <w:color w:val="0F172A"/>
                <w:sz w:val="18"/>
              </w:rPr>
              <w:t>$0.00 USD</w:t>
            </w:r>
          </w:p>
        </w:tc>
      </w:tr>
      <w:tr>
        <w:tc>
          <w:tcPr>
            <w:tcBorders>
              <w:top w:val="none"/>
              <w:bottom w:val="single" w:sz="4" w:space="0" w:color="E2E8F0"/>
              <w:left w:val="none"/>
              <w:right w:val="none"/>
            </w:tcBorders>
            <w:tcMar>
              <w:top w:w="90"/>
              <w:bottom w:w="90"/>
              <w:left w:w="140"/>
              <w:right w:w="140"/>
            </w:tcMar>
          </w:tcPr>
          <w:p>
            <w:pPr>
              <w:jc w:val="left"/>
              <w:spacing w:after="0" w:line="220" w:lineRule="auto"/>
            </w:pPr>
            <w:r>
              <w:rPr>
                <w:rFonts w:ascii="Times New Roman" w:hAnsi="Times New Roman"/>
                <w:b/>
                <w:color w:val="0F172A"/>
                <w:sz w:val="18"/>
              </w:rPr>
              <w:t>Base de Datos en RAM</w:t>
            </w:r>
          </w:p>
        </w:tc>
        <w:tc>
          <w:tcPr>
            <w:tcBorders>
              <w:top w:val="none"/>
              <w:bottom w:val="single" w:sz="4" w:space="0" w:color="E2E8F0"/>
              <w:left w:val="none"/>
              <w:right w:val="none"/>
            </w:tcBorders>
            <w:tcMar>
              <w:top w:w="90"/>
              <w:bottom w:w="90"/>
              <w:left w:w="140"/>
              <w:right w:w="140"/>
            </w:tcMar>
          </w:tcPr>
          <w:p>
            <w:pPr>
              <w:jc w:val="left"/>
              <w:spacing w:after="0" w:line="220" w:lineRule="auto"/>
            </w:pPr>
            <w:r>
              <w:rPr>
                <w:rFonts w:ascii="Times New Roman" w:hAnsi="Times New Roman"/>
                <w:color w:val="0F172A"/>
                <w:sz w:val="18"/>
              </w:rPr>
              <w:t>PostgreSQL montado en volumen tmpfs / zram</w:t>
            </w:r>
          </w:p>
        </w:tc>
        <w:tc>
          <w:tcPr>
            <w:tcBorders>
              <w:top w:val="none"/>
              <w:bottom w:val="single" w:sz="4" w:space="0" w:color="E2E8F0"/>
              <w:left w:val="none"/>
              <w:right w:val="none"/>
            </w:tcBorders>
            <w:tcMar>
              <w:top w:w="90"/>
              <w:bottom w:w="90"/>
              <w:left w:w="140"/>
              <w:right w:w="140"/>
            </w:tcMar>
          </w:tcPr>
          <w:p>
            <w:pPr>
              <w:jc w:val="center"/>
              <w:spacing w:after="0" w:line="220" w:lineRule="auto"/>
            </w:pPr>
            <w:r>
              <w:rPr>
                <w:rFonts w:ascii="Times New Roman" w:hAnsi="Times New Roman"/>
                <w:color w:val="0F172A"/>
                <w:sz w:val="18"/>
              </w:rPr>
              <w:t>Open Source (PostgreSQL)</w:t>
            </w:r>
          </w:p>
        </w:tc>
        <w:tc>
          <w:tcPr>
            <w:tcBorders>
              <w:top w:val="none"/>
              <w:bottom w:val="single" w:sz="4" w:space="0" w:color="E2E8F0"/>
              <w:left w:val="none"/>
              <w:right w:val="none"/>
            </w:tcBorders>
            <w:tcMar>
              <w:top w:w="90"/>
              <w:bottom w:w="90"/>
              <w:left w:w="140"/>
              <w:right w:w="140"/>
            </w:tcMar>
          </w:tcPr>
          <w:p>
            <w:pPr>
              <w:jc w:val="right"/>
              <w:spacing w:after="0" w:line="220" w:lineRule="auto"/>
            </w:pPr>
            <w:r>
              <w:rPr>
                <w:rFonts w:ascii="Times New Roman" w:hAnsi="Times New Roman"/>
                <w:color w:val="0F172A"/>
                <w:sz w:val="18"/>
              </w:rPr>
              <w:t>$0.00 USD</w:t>
            </w:r>
          </w:p>
        </w:tc>
      </w:tr>
      <w:tr>
        <w:tc>
          <w:tcPr>
            <w:tcBorders>
              <w:top w:val="none"/>
              <w:bottom w:val="single" w:sz="4" w:space="0" w:color="E2E8F0"/>
              <w:left w:val="none"/>
              <w:right w:val="none"/>
            </w:tcBorders>
            <w:tcMar>
              <w:top w:w="90"/>
              <w:bottom w:w="90"/>
              <w:left w:w="140"/>
              <w:right w:w="140"/>
            </w:tcMar>
          </w:tcPr>
          <w:p>
            <w:pPr>
              <w:jc w:val="left"/>
              <w:spacing w:after="0" w:line="220" w:lineRule="auto"/>
            </w:pPr>
            <w:r>
              <w:rPr>
                <w:rFonts w:ascii="Times New Roman" w:hAnsi="Times New Roman"/>
                <w:b/>
                <w:color w:val="0F172A"/>
                <w:sz w:val="18"/>
              </w:rPr>
              <w:t>Túnel Sigiloso Anti-DPI</w:t>
            </w:r>
          </w:p>
        </w:tc>
        <w:tc>
          <w:tcPr>
            <w:tcBorders>
              <w:top w:val="none"/>
              <w:bottom w:val="single" w:sz="4" w:space="0" w:color="E2E8F0"/>
              <w:left w:val="none"/>
              <w:right w:val="none"/>
            </w:tcBorders>
            <w:tcMar>
              <w:top w:w="90"/>
              <w:bottom w:w="90"/>
              <w:left w:w="140"/>
              <w:right w:w="140"/>
            </w:tcMar>
          </w:tcPr>
          <w:p>
            <w:pPr>
              <w:jc w:val="left"/>
              <w:spacing w:after="0" w:line="220" w:lineRule="auto"/>
            </w:pPr>
            <w:r>
              <w:rPr>
                <w:rFonts w:ascii="Times New Roman" w:hAnsi="Times New Roman"/>
                <w:color w:val="0F172A"/>
                <w:sz w:val="18"/>
              </w:rPr>
              <w:t>RouterOS v7 (MikroTik) + WebSocket WSS / Cloudflare</w:t>
            </w:r>
          </w:p>
        </w:tc>
        <w:tc>
          <w:tcPr>
            <w:tcBorders>
              <w:top w:val="none"/>
              <w:bottom w:val="single" w:sz="4" w:space="0" w:color="E2E8F0"/>
              <w:left w:val="none"/>
              <w:right w:val="none"/>
            </w:tcBorders>
            <w:tcMar>
              <w:top w:w="90"/>
              <w:bottom w:w="90"/>
              <w:left w:w="140"/>
              <w:right w:w="140"/>
            </w:tcMar>
          </w:tcPr>
          <w:p>
            <w:pPr>
              <w:jc w:val="center"/>
              <w:spacing w:after="0" w:line="220" w:lineRule="auto"/>
            </w:pPr>
            <w:r>
              <w:rPr>
                <w:rFonts w:ascii="Times New Roman" w:hAnsi="Times New Roman"/>
                <w:color w:val="0F172A"/>
                <w:sz w:val="18"/>
              </w:rPr>
              <w:t>Incluido en MikroTik hEX</w:t>
            </w:r>
          </w:p>
        </w:tc>
        <w:tc>
          <w:tcPr>
            <w:tcBorders>
              <w:top w:val="none"/>
              <w:bottom w:val="single" w:sz="4" w:space="0" w:color="E2E8F0"/>
              <w:left w:val="none"/>
              <w:right w:val="none"/>
            </w:tcBorders>
            <w:tcMar>
              <w:top w:w="90"/>
              <w:bottom w:w="90"/>
              <w:left w:w="140"/>
              <w:right w:w="140"/>
            </w:tcMar>
          </w:tcPr>
          <w:p>
            <w:pPr>
              <w:jc w:val="right"/>
              <w:spacing w:after="0" w:line="220" w:lineRule="auto"/>
            </w:pPr>
            <w:r>
              <w:rPr>
                <w:rFonts w:ascii="Times New Roman" w:hAnsi="Times New Roman"/>
                <w:color w:val="0F172A"/>
                <w:sz w:val="18"/>
              </w:rPr>
              <w:t>$0.00 USD</w:t>
            </w:r>
          </w:p>
        </w:tc>
      </w:tr>
      <w:tr>
        <w:tc>
          <w:tcPr>
            <w:tcBorders>
              <w:top w:val="none"/>
              <w:bottom w:val="single" w:sz="12" w:space="0" w:color="0F172A"/>
              <w:left w:val="none"/>
              <w:right w:val="none"/>
            </w:tcBorders>
            <w:tcMar>
              <w:top w:w="90"/>
              <w:bottom w:w="90"/>
              <w:left w:w="140"/>
              <w:right w:w="140"/>
            </w:tcMar>
          </w:tcPr>
          <w:p>
            <w:pPr>
              <w:jc w:val="left"/>
              <w:spacing w:after="0" w:line="220" w:lineRule="auto"/>
            </w:pPr>
            <w:r>
              <w:rPr>
                <w:rFonts w:ascii="Times New Roman" w:hAnsi="Times New Roman"/>
                <w:b/>
                <w:color w:val="0F172A"/>
                <w:sz w:val="18"/>
              </w:rPr>
              <w:t>TOTAL INVERSIÓN ADICIONAL</w:t>
            </w:r>
          </w:p>
        </w:tc>
        <w:tc>
          <w:tcPr>
            <w:tcBorders>
              <w:top w:val="none"/>
              <w:bottom w:val="single" w:sz="12" w:space="0" w:color="0F172A"/>
              <w:left w:val="none"/>
              <w:right w:val="none"/>
            </w:tcBorders>
            <w:tcMar>
              <w:top w:w="90"/>
              <w:bottom w:w="90"/>
              <w:left w:w="140"/>
              <w:right w:w="140"/>
            </w:tcMar>
          </w:tcPr>
          <w:p>
            <w:pPr>
              <w:jc w:val="left"/>
              <w:spacing w:after="0" w:line="220" w:lineRule="auto"/>
            </w:pPr>
            <w:r>
              <w:rPr>
                <w:rFonts w:ascii="Times New Roman" w:hAnsi="Times New Roman"/>
                <w:b/>
                <w:color w:val="0F172A"/>
                <w:sz w:val="18"/>
              </w:rPr>
              <w:t>Blindaje Criptográfico Completo de Servidor Físico</w:t>
            </w:r>
          </w:p>
        </w:tc>
        <w:tc>
          <w:tcPr>
            <w:tcBorders>
              <w:top w:val="none"/>
              <w:bottom w:val="single" w:sz="12" w:space="0" w:color="0F172A"/>
              <w:left w:val="none"/>
              <w:right w:val="none"/>
            </w:tcBorders>
            <w:tcMar>
              <w:top w:w="90"/>
              <w:bottom w:w="90"/>
              <w:left w:w="140"/>
              <w:right w:w="140"/>
            </w:tcMar>
          </w:tcPr>
          <w:p>
            <w:pPr>
              <w:jc w:val="center"/>
              <w:spacing w:after="0" w:line="220" w:lineRule="auto"/>
            </w:pPr>
            <w:r>
              <w:rPr>
                <w:rFonts w:ascii="Times New Roman" w:hAnsi="Times New Roman"/>
                <w:b/>
                <w:color w:val="0F172A"/>
                <w:sz w:val="18"/>
              </w:rPr>
              <w:t>Soberanía Técnica</w:t>
            </w:r>
          </w:p>
        </w:tc>
        <w:tc>
          <w:tcPr>
            <w:tcBorders>
              <w:top w:val="none"/>
              <w:bottom w:val="single" w:sz="12" w:space="0" w:color="0F172A"/>
              <w:left w:val="none"/>
              <w:right w:val="none"/>
            </w:tcBorders>
            <w:tcMar>
              <w:top w:w="90"/>
              <w:bottom w:w="90"/>
              <w:left w:w="140"/>
              <w:right w:w="140"/>
            </w:tcMar>
          </w:tcPr>
          <w:p>
            <w:pPr>
              <w:jc w:val="right"/>
              <w:spacing w:after="0" w:line="220" w:lineRule="auto"/>
            </w:pPr>
            <w:r>
              <w:rPr>
                <w:rFonts w:ascii="Times New Roman" w:hAnsi="Times New Roman"/>
                <w:b/>
                <w:color w:val="0F172A"/>
                <w:sz w:val="18"/>
              </w:rPr>
              <w:t>$0.00 USD</w:t>
            </w:r>
          </w:p>
        </w:tc>
      </w:tr>
    </w:tbl>
    <w:p>
      <w:pPr>
        <w:spacing w:before="40" w:after="120" w:line="220" w:lineRule="auto"/>
        <w:jc w:val="left"/>
      </w:pPr>
      <w:r>
        <w:rPr>
          <w:rFonts w:ascii="Times New Roman" w:hAnsi="Times New Roman"/>
          <w:i/>
          <w:sz w:val="16"/>
          <w:color w:val="64748B"/>
        </w:rPr>
        <w:t>Nota. Las cuatro propuestas actualizadas se configuran sobre el hardware Dell OptiPlex Core i7, los 2 discos SSD en RAID 1 y el MikroTik hEX RB750Gr3 ya contemplados en el presupuesto formal de hardware ($862.46 USD).</w:t>
      </w:r>
    </w:p>
    <w:p>
      <w:pPr>
        <w:spacing w:before="240" w:after="100" w:line="280" w:lineRule="auto"/>
        <w:jc w:val="center"/>
      </w:pPr>
      <w:r>
        <w:rPr>
          <w:rFonts w:ascii="Times New Roman" w:hAnsi="Times New Roman"/>
          <w:b/>
          <w:sz w:val="22"/>
          <w:szCs w:val="22"/>
          <w:color w:val="0F172A"/>
        </w:rPr>
        <w:t>CAPÍTULO V: DICTAMEN TÉCNICO CONCLUSIVO</w:t>
      </w:r>
    </w:p>
    <w:p>
      <w:pPr>
        <w:ind w:firstLine="567"/>
        <w:spacing w:before="0" w:after="80" w:line="280" w:lineRule="auto"/>
        <w:jc w:val="both"/>
      </w:pPr>
      <w:r>
        <w:rPr>
          <w:rFonts w:ascii="Times New Roman" w:hAnsi="Times New Roman"/>
          <w:b/>
          <w:sz w:val="23"/>
          <w:color w:val="0F172A"/>
        </w:rPr>
        <w:t xml:space="preserve">5.1. Dictamen de Aprobación: </w:t>
      </w:r>
      <w:r>
        <w:rPr>
          <w:rFonts w:ascii="Times New Roman" w:hAnsi="Times New Roman"/>
          <w:sz w:val="23"/>
          <w:szCs w:val="23"/>
          <w:color w:val="0F172A"/>
        </w:rPr>
        <w:t xml:space="preserve">Se recomienda formalmente a la Dirección General del Movimiento Independiente Ganamos Todos (MIGATO) y al Comando Estratégico de El Gato Briceño la APROBACIÓN E IMPLEMENTACIÓN INMEDIATA de las cuatro propuestas actualizadas de protección física. Esta arquitectura sitúa a la Sala Situacional de Maturín en el estándar más avanzado de ciberdefensa y seguridad de personas en entornos de persecución política, garantizando la preservación de las actas y la inmunidad de la militancia sin incrementar en un solo dólar el presupuesto aprobado.</w:t>
      </w:r>
    </w:p>
    <w:p>
      <w:pPr>
        <w:spacing w:before="300"/>
      </w:pPr>
    </w:p>
    <w:tbl>
      <w:tblPr>
        <w:tblW w:w="5000" w:type="pct"/>
        <w:tblBorders>
          <w:top w:val="none"/>
          <w:bottom w:val="none"/>
          <w:left w:val="none"/>
          <w:right w:val="none"/>
          <w:insideH w:val="none"/>
          <w:insideV w:val="none"/>
        </w:tblBorders>
      </w:tblPr>
      <w:tr>
        <w:tc>
          <w:p>
            <w:pPr>
              <w:jc w:val="center"/>
              <w:spacing w:before="240" w:after="20"/>
            </w:pPr>
            <w:r>
              <w:rPr>
                <w:rFonts w:ascii="Times New Roman" w:hAnsi="Times New Roman"/>
                <w:color w:val="0F172A"/>
              </w:rPr>
              <w:t>__________________________________</w:t>
            </w:r>
          </w:p>
          <w:p>
            <w:pPr>
              <w:jc w:val="center"/>
              <w:spacing w:after="20"/>
            </w:pPr>
            <w:r>
              <w:rPr>
                <w:rFonts w:ascii="Times New Roman" w:hAnsi="Times New Roman"/>
                <w:b/>
                <w:sz w:val="20"/>
                <w:color w:val="0F172A"/>
              </w:rPr>
              <w:t>COMANDO ESTRATÉGICO MIGATO</w:t>
            </w:r>
          </w:p>
          <w:p>
            <w:pPr>
              <w:jc w:val="center"/>
              <w:spacing w:after="20"/>
            </w:pPr>
            <w:r>
              <w:rPr>
                <w:rFonts w:ascii="Times New Roman" w:hAnsi="Times New Roman"/>
                <w:color w:val="475569"/>
                <w:sz w:val="17"/>
              </w:rPr>
              <w:t>Dirección de Operaciones • El Gato Briceño</w:t>
            </w:r>
          </w:p>
        </w:tc>
        <w:tc>
          <w:p>
            <w:pPr>
              <w:jc w:val="center"/>
              <w:spacing w:before="240" w:after="20"/>
            </w:pPr>
            <w:r>
              <w:rPr>
                <w:rFonts w:ascii="Times New Roman" w:hAnsi="Times New Roman"/>
                <w:color w:val="0F172A"/>
              </w:rPr>
              <w:t>__________________________________</w:t>
            </w:r>
          </w:p>
          <w:p>
            <w:pPr>
              <w:jc w:val="center"/>
              <w:spacing w:after="20"/>
            </w:pPr>
            <w:r>
              <w:rPr>
                <w:rFonts w:ascii="Times New Roman" w:hAnsi="Times New Roman"/>
                <w:b/>
                <w:sz w:val="20"/>
                <w:color w:val="0F172A"/>
              </w:rPr>
              <w:t>ING. DIEGO DONADO</w:t>
            </w:r>
          </w:p>
          <w:p>
            <w:pPr>
              <w:jc w:val="center"/>
              <w:spacing w:after="20"/>
            </w:pPr>
            <w:r>
              <w:rPr>
                <w:rFonts w:ascii="Times New Roman" w:hAnsi="Times New Roman"/>
                <w:color w:val="475569"/>
                <w:sz w:val="17"/>
              </w:rPr>
              <w:t>Responsable de Ciencia y Tecnología MIGATO</w:t>
            </w:r>
          </w:p>
        </w:tc>
      </w:tr>
    </w:tbl>
    <w:sectPr>
      <w:headerReference w:type="first" r:id="rIdHeaderFirst"/>
      <w:headerReference w:type="default" r:id="rIdHeader1"/>
      <w:footerReference w:type="first" r:id="rIdFooterFirst"/>
      <w:footerReference w:type="default" r:id="rIdFooter1"/>
      <w:titlePg/>
      <w:pgSz w:w="12240" w:h="15840"/>
      <w:pgMar w:top="1440" w:right="1440" w:bottom="1440" w:left="1700" w:header="720" w:footer="720" w:gutter="0"/>
    </w:sectPr>
  </w:body>
</w:document>
</file>

<file path=word/footer1.xml><?xml version="1.0" encoding="utf-8"?>
<w:ftr xmlns:w="http://schemas.openxmlformats.org/wordprocessingml/2006/main">
  <w:p>
    <w:pPr>
      <w:jc w:val="center"/>
      <w:spacing w:before="60" w:after="0" w:line="240" w:lineRule="auto"/>
    </w:pPr>
    <w:r>
      <w:rPr>
        <w:rFonts w:ascii="Times New Roman" w:hAnsi="Times New Roman"/>
        <w:sz w:val="14"/>
        <w:color w:val="64748B"/>
      </w:rPr>
      <w:t>Dictamen Técnico de Ciberseguridad • Comando Estratégico El Gato Briceño • Monagas</w:t>
    </w:r>
  </w:p>
</w:ftr>
</file>

<file path=word/footer_first.xml><?xml version="1.0" encoding="utf-8"?>
<w:ftr xmlns:w="http://schemas.openxmlformats.org/wordprocessingml/2006/main">
  <w:p>
    <w:pPr>
      <w:jc w:val="center"/>
    </w:pP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8260" w:type="dxa"/>
      <w:jc w:val="center"/>
      <w:tblBorders>
        <w:top w:val="none"/>
        <w:left w:val="none"/>
        <w:bottom w:val="single" w:sz="6" w:space="0" w:color="D1D5DB"/>
        <w:right w:val="none"/>
        <w:insideH w:val="none"/>
        <w:insideV w:val="none"/>
      </w:tblBorders>
      <w:tblCellMar>
        <w:top w:w="0" w:type="dxa"/>
        <w:left w:w="0" w:type="dxa"/>
        <w:bottom w:w="60" w:type="dxa"/>
        <w:right w:w="0" w:type="dxa"/>
      </w:tblCellMar>
    </w:tblPr>
    <w:tblGrid>
      <w:gridCol w:w="700"/>
      <w:gridCol w:w="5860"/>
      <w:gridCol w:w="1700"/>
    </w:tblGrid>
    <w:tr>
      <w:tc>
        <w:tcPr>
          <w:tcW w:w="700" w:type="dxa"/>
          <w:vAlign w:val="center"/>
        </w:tcPr>
        <w:p>
          <w:pPr>
            <w:spacing w:before="0" w:after="0" w:line="240" w:lineRule="auto"/>
            <w:jc w:val="left"/>
          </w:pPr>
          <w:r>
            <w:drawing>
              <wp:inline distT="0" distB="0" distL="0" distR="0">
                <wp:extent cx="380000" cy="370000"/>
                <wp:docPr id="101" name="Logo Header"/>
                <a:graphic>
                  <a:graphicData uri="http://schemas.openxmlformats.org/drawingml/2006/picture">
                    <pic:pic>
                      <pic:nvPicPr>
                        <pic:cNvPr id="101" name="logo.png"/>
                        <pic:cNvPicPr/>
                      </pic:nvPicPr>
                      <pic:blipFill>
                        <a:blip r:embed="rIdHeaderLogo"/>
                        <a:stretch>
                          <a:fillRect/>
                        </a:stretch>
                      </pic:blipFill>
                      <pic:spPr>
                        <a:xfrm>
                          <a:off x="0" y="0"/>
                          <a:ext cx="380000" cy="370000"/>
                        </a:xfrm>
                        <a:prstGeom prst="rect">
                          <a:avLst/>
                        </a:prstGeom>
                      </pic:spPr>
                    </pic:pic>
                  </a:graphicData>
                </a:graphic>
              </wp:inline>
            </w:drawing>
          </w:r>
        </w:p>
      </w:tc>
      <w:tc>
        <w:tcPr>
          <w:tcW w:w="5860" w:type="dxa"/>
          <w:vAlign w:val="center"/>
        </w:tcPr>
        <w:p>
          <w:pPr>
            <w:spacing w:before="0" w:after="0" w:line="200" w:lineRule="auto"/>
            <w:jc w:val="center"/>
          </w:pPr>
          <w:r>
            <w:rPr>
              <w:rFonts w:ascii="Times New Roman" w:hAnsi="Times New Roman"/>
              <w:b/>
              <w:sz w:val="15"/>
              <w:szCs w:val="15"/>
              <w:color w:val="0F172A"/>
            </w:rPr>
            <w:t>MOVIMIENTO INDEPENDIENTE GANAMOS TODOS (MIGATO)</w:t>
          </w:r>
        </w:p>
        <w:p>
          <w:pPr>
            <w:spacing w:before="0" w:after="0" w:line="200" w:lineRule="auto"/>
            <w:jc w:val="center"/>
          </w:pPr>
          <w:r>
            <w:rPr>
              <w:rFonts w:ascii="Times New Roman" w:hAnsi="Times New Roman"/>
              <w:sz w:val="13"/>
              <w:szCs w:val="13"/>
              <w:color w:val="475569"/>
            </w:rPr>
            <w:t>SEGURIDAD OPERATIVA Y CIBERDEFENSA • SALA SITUACIONAL MONAGAS 2026</w:t>
          </w:r>
        </w:p>
      </w:tc>
      <w:tc>
        <w:tcPr>
          <w:tcW w:w="1700" w:type="dxa"/>
          <w:vAlign w:val="center"/>
        </w:tcPr>
        <w:p>
          <w:pPr>
            <w:spacing w:before="0" w:after="0" w:line="240" w:lineRule="auto"/>
            <w:jc w:val="right"/>
          </w:pPr>
          <w:r>
            <w:rPr>
              <w:rFonts w:ascii="Times New Roman" w:hAnsi="Times New Roman"/>
              <w:sz w:val="15"/>
              <w:szCs w:val="15"/>
              <w:color w:val="475569"/>
            </w:rPr>
            <w:t>Página </w:t>
          </w:r>
          <w:fldSimple w:instr="PAGE"/>
          <w:r>
            <w:rPr>
              <w:rFonts w:ascii="Times New Roman" w:hAnsi="Times New Roman"/>
              <w:sz w:val="15"/>
              <w:szCs w:val="15"/>
              <w:color w:val="475569"/>
            </w:rPr>
            <w:t> de </w:t>
          </w:r>
          <w:fldSimple w:instr="NUMPAGES"/>
        </w:p>
      </w:tc>
    </w:tr>
  </w:tbl>
</w:hdr>
</file>

<file path=word/header_first.xml><?xml version="1.0" encoding="utf-8"?>
<w:hdr xmlns:w="http://schemas.openxmlformats.org/wordprocessingml/2006/main">
  <w:p>
    <w:pPr>
      <w:jc w:val="center"/>
    </w:pPr>
  </w:p>
</w:hdr>
</file>

<file path=word/styles.xml><?xml version="1.0" encoding="utf-8"?>
<w:styles xmlns:w="http://schemas.openxmlformats.org/wordprocessingml/2006/main">
  <w:docDefaults>
    <w:rPrDefault>
      <w:rFonts w:ascii="Times New Roman" w:hAnsi="Times New Roman" w:cs="Times New Roman"/>
      <w:sz w:val="23"/>
      <w:szCs w:val="23"/>
      <w:color w:val="0F172A"/>
    </w:rPrDefault>
    <w:pPrDefault>
      <w:spacing w:line="280" w:lineRule="auto" w:before="0" w:after="0"/>
      <w:jc w:val="both"/>
    </w:pPrDefault>
  </w:docDefaults>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Header1" Type="http://schemas.openxmlformats.org/officeDocument/2006/relationships/header" Target="header1.xml"/>
  <Relationship Id="rIdFooter1" Type="http://schemas.openxmlformats.org/officeDocument/2006/relationships/footer" Target="footer1.xml"/>
  <Relationship Id="rIdHeaderFirst" Type="http://schemas.openxmlformats.org/officeDocument/2006/relationships/header" Target="header_first.xml"/>
  <Relationship Id="rIdFooterFirst" Type="http://schemas.openxmlformats.org/officeDocument/2006/relationships/footer" Target="footer_first.xml"/>
  <Relationship Id="rIdLogo" Type="http://schemas.openxmlformats.org/officeDocument/2006/relationships/image" Target="media/logo.png"/>
</Relationships>
</file>

<file path=word/_rels/header1.xml.rels><?xml version="1.0" encoding="UTF-8" standalone="yes"?>
<Relationships xmlns="http://schemas.openxmlformats.org/package/2006/relationships">
  <Relationship Id="rIdHeaderLogo" Type="http://schemas.openxmlformats.org/officeDocument/2006/relationships/image" Target="media/logo.png"/>
</Relationships>
</file>