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_first.xml" ContentType="application/vnd.openxmlformats-officedocument.wordprocessingml.header+xml"/>
  <Override PartName="/word/footer_first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1"/>
          <w:szCs w:val="21"/>
        </w:rPr>
        <w:t>REPÚBLICA BOLIVARIANA DE VENEZUELA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1"/>
          <w:szCs w:val="21"/>
        </w:rPr>
        <w:t>MOVIMIENTO INDEPENDIENTE GANAMOS TODOS (MIGATO)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1"/>
          <w:szCs w:val="21"/>
        </w:rPr>
        <w:t>EQUIPO TÉCNICO REGIONAL DE INFORMÁTICA Y SISTEMAS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1"/>
          <w:szCs w:val="21"/>
        </w:rPr>
        <w:t>MATURÍN, ESTADO MONAGAS</w:t>
      </w:r>
    </w:p>
    <w:p>
      <w:pPr>
        <w:spacing w:before="0" w:after="60" w:line="240" w:lineRule="auto"/>
      </w:pPr>
    </w:p>
    <w:p>
      <w:pPr>
        <w:spacing w:before="100" w:after="100" w:line="240" w:lineRule="auto"/>
        <w:jc w:val="center"/>
      </w:pPr>
      <w:r>
        <w:drawing>
          <wp:inline distT="0" distB="0" distL="0" distR="0">
            <wp:extent cx="1450000" cy="1415000"/>
            <wp:docPr id="1" name="Logo MIGATO"/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450000" cy="14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</w:pPr>
    </w:p>
    <w:p>
      <w:pPr>
        <w:spacing w:before="140" w:after="80" w:line="280" w:lineRule="auto"/>
        <w:jc w:val="center"/>
      </w:pPr>
      <w:r>
        <w:rPr>
          <w:rFonts w:ascii="Times New Roman" w:hAnsi="Times New Roman"/>
          <w:b/>
          <w:sz w:val="25"/>
          <w:szCs w:val="25"/>
        </w:rPr>
        <w:t>PROPUESTA TÉCNICA Y PRESUPUESTO DE INFRAESTRUCTURA: SERVIDOR LOCAL Y NUBE</w:t>
      </w:r>
    </w:p>
    <w:p>
      <w:pPr>
        <w:spacing w:before="30" w:after="140" w:line="250" w:lineRule="auto"/>
        <w:jc w:val="center"/>
      </w:pPr>
      <w:r>
        <w:rPr>
          <w:rFonts w:ascii="Times New Roman" w:hAnsi="Times New Roman"/>
          <w:sz w:val="21"/>
          <w:szCs w:val="21"/>
        </w:rPr>
        <w:t>Informe Técnico-Económico para la Puesta en Marcha de la Sala Situacional de Campaña, Servidor Físico RAID 1, Gateway MikroTik y Servidor Cloud VPS MIGATO 2026</w:t>
      </w:r>
    </w:p>
    <w:p>
      <w:pPr>
        <w:spacing w:before="0" w:after="100" w:line="240" w:lineRule="auto"/>
      </w:pPr>
    </w:p>
    <w:p>
      <w:pPr>
        <w:spacing w:before="80" w:after="20" w:line="240" w:lineRule="auto"/>
        <w:ind w:left="3800"/>
        <w:jc w:val="left"/>
      </w:pPr>
      <w:r>
        <w:rPr>
          <w:rFonts w:ascii="Times New Roman" w:hAnsi="Times New Roman"/>
          <w:b/>
          <w:sz w:val="21"/>
        </w:rPr>
        <w:t>Elaborado por:</w:t>
      </w:r>
    </w:p>
    <w:p>
      <w:pPr>
        <w:spacing w:before="0" w:after="15" w:line="240" w:lineRule="auto"/>
        <w:ind w:left="3800"/>
        <w:jc w:val="left"/>
      </w:pPr>
      <w:r>
        <w:rPr>
          <w:rFonts w:ascii="Times New Roman" w:hAnsi="Times New Roman"/>
          <w:sz w:val="21"/>
        </w:rPr>
        <w:t>Equipo Técnico Regional de Sistemas e Informática</w:t>
      </w:r>
    </w:p>
    <w:p>
      <w:pPr>
        <w:spacing w:before="0" w:after="50" w:line="240" w:lineRule="auto"/>
        <w:ind w:left="3800"/>
        <w:jc w:val="left"/>
      </w:pPr>
      <w:r>
        <w:rPr>
          <w:rFonts w:ascii="Times New Roman" w:hAnsi="Times New Roman"/>
          <w:sz w:val="21"/>
        </w:rPr>
        <w:t>Ing. Diego Donado • Ciencia y Tecnología MIGATO</w:t>
      </w:r>
    </w:p>
    <w:p>
      <w:pPr>
        <w:spacing w:before="0" w:after="80" w:line="240" w:lineRule="auto"/>
      </w:pPr>
    </w:p>
    <w:p>
      <w:pPr>
        <w:spacing w:before="120" w:after="0" w:line="240" w:lineRule="auto"/>
        <w:jc w:val="center"/>
      </w:pPr>
      <w:r>
        <w:rPr>
          <w:rFonts w:ascii="Times New Roman" w:hAnsi="Times New Roman"/>
          <w:b/>
          <w:sz w:val="22"/>
        </w:rPr>
        <w:t>Maturín, septiembre de 2026</w:t>
      </w:r>
    </w:p>
    <w:p>
      <w:r>
        <w:br w:type="page"/>
      </w:r>
    </w:p>
    <w:p>
      <w:pPr>
        <w:spacing w:before="10" w:after="12" w:line="240" w:lineRule="auto"/>
        <w:jc w:val="center"/>
      </w:pPr>
      <w:r>
        <w:rPr>
          <w:rFonts w:ascii="Times New Roman" w:hAnsi="Times New Roman"/>
          <w:b/>
          <w:sz w:val="22"/>
          <w:szCs w:val="22"/>
        </w:rPr>
        <w:t>INTRODUCCIÓN Y PREMISA OPERATIVA</w:t>
      </w:r>
    </w:p>
    <w:p>
      <w:pPr>
        <w:spacing w:before="0" w:after="14" w:line="260" w:lineRule="auto"/>
        <w:ind w:firstLine="567"/>
        <w:jc w:val="both"/>
      </w:pPr>
      <w:r>
        <w:rPr>
          <w:rFonts w:ascii="Times New Roman" w:hAnsi="Times New Roman"/>
          <w:sz w:val="21"/>
          <w:szCs w:val="21"/>
        </w:rPr>
        <w:t xml:space="preserve">El presente informe tiene como propósito exponer ante la directiva del partido y el comando de campaña la propuesta técnica y el presupuesto de dotación tecnológica, instalación y puesta en marcha para la Sala Situacional de Maturín y la plataforma electoral del Movimiento Independiente Ganamos Todos (MIGATO) en el Estado Monagas. Premisa de Alcance: El presente proyecto se enfoca estrictamente en el equipamiento de cómputo, almacenamiento RAID 1, electrónica de red y conectividad lógica, bajo la premisa de que la sede ya cuenta con el centro de cómputo acondicionado (rack de comunicaciones existente y acometida eléctrica base). De requerirse obras civiles adicionales (suministro de rack de piso, marquesinas o cableado de potencia), se presupuestarán en una fase anexa independiente.</w:t>
      </w:r>
    </w:p>
    <w:p>
      <w:pPr>
        <w:spacing w:before="10" w:after="6" w:line="240" w:lineRule="auto"/>
        <w:jc w:val="center"/>
      </w:pPr>
      <w:r>
        <w:rPr>
          <w:rFonts w:ascii="Times New Roman" w:hAnsi="Times New Roman"/>
          <w:b/>
          <w:sz w:val="22"/>
          <w:szCs w:val="22"/>
        </w:rPr>
        <w:t>1. RESUMEN EJECUTIVO DE INVERSIÓN</w:t>
      </w:r>
    </w:p>
    <w:p>
      <w:pPr>
        <w:spacing w:before="0" w:after="8" w:line="260" w:lineRule="auto"/>
        <w:ind w:firstLine="567"/>
        <w:jc w:val="both"/>
      </w:pPr>
      <w:r>
        <w:rPr>
          <w:rFonts w:ascii="Times New Roman" w:hAnsi="Times New Roman"/>
          <w:sz w:val="21"/>
          <w:szCs w:val="21"/>
        </w:rPr>
        <w:t xml:space="preserve">Para lograr un despliegue equilibrado, la inversión se divide en dos componentes: 1) Equipamiento físico de sala para procesamiento local de alta velocidad sin saturar el ancho de banda; y 2) Servidor en la nube (Cloud VPS) con disponibilidad 24/7 para el reporte móvil de los testigos en centros electorales.</w:t>
      </w:r>
    </w:p>
    <w:tbl>
      <w:tblPr>
        <w:tblW w:w="0" w:type="auto"/>
        <w:jc w:val="center"/>
        <w:tblBorders>
          <w:top w:val="single" w:sz="6" w:space="0" w:color="000000"/>
          <w:left w:val="none"/>
          <w:bottom w:val="single" w:sz="6" w:space="0" w:color="000000"/>
          <w:right w:val="none"/>
          <w:insideH w:val="single" w:sz="4" w:space="0" w:color="CCCCCC"/>
          <w:insideV w:val="non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00"/>
        <w:gridCol w:w="2400"/>
        <w:gridCol w:w="2400"/>
        <w:gridCol w:w="1800"/>
      </w:tblGrid>
      <w:tr>
        <w:trPr>
          <w:tblHeader/>
        </w:trPr>
        <w:tc>
          <w:tcPr>
            <w:tcW w:w="3000" w:type="dxa"/>
            <w:shd w:val="clear" w:color="auto" w:fill="EAEAEA"/>
          </w:tcPr>
          <w:p>
            <w:pPr>
              <w:spacing w:before="10" w:after="10" w:line="22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Componente / Ámbito</w:t>
            </w:r>
          </w:p>
        </w:tc>
        <w:tc>
          <w:tcPr>
            <w:tcW w:w="2400" w:type="dxa"/>
            <w:shd w:val="clear" w:color="auto" w:fill="EAEAEA"/>
          </w:tcPr>
          <w:p>
            <w:pPr>
              <w:spacing w:before="10" w:after="10" w:line="220" w:lineRule="auto"/>
              <w:jc w:val="right"/>
            </w:pPr>
            <w:r>
              <w:rPr>
                <w:rFonts w:ascii="Times New Roman" w:hAnsi="Times New Roman"/>
                <w:b/>
                <w:sz w:val="17"/>
              </w:rPr>
              <w:t>Modalidad de Inversión</w:t>
            </w:r>
          </w:p>
        </w:tc>
        <w:tc>
          <w:tcPr>
            <w:tcW w:w="2400" w:type="dxa"/>
            <w:shd w:val="clear" w:color="auto" w:fill="EAEAEA"/>
          </w:tcPr>
          <w:p>
            <w:pPr>
              <w:spacing w:before="10" w:after="10" w:line="22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Cobertura Operativa</w:t>
            </w:r>
          </w:p>
        </w:tc>
        <w:tc>
          <w:tcPr>
            <w:tcW w:w="1800" w:type="dxa"/>
            <w:shd w:val="clear" w:color="auto" w:fill="EAEAEA"/>
          </w:tcPr>
          <w:p>
            <w:pPr>
              <w:spacing w:before="10" w:after="10" w:line="220" w:lineRule="auto"/>
              <w:jc w:val="right"/>
            </w:pPr>
            <w:r>
              <w:rPr>
                <w:rFonts w:ascii="Times New Roman" w:hAnsi="Times New Roman"/>
                <w:b/>
                <w:sz w:val="17"/>
              </w:rPr>
              <w:t>Inversión (USD)</w:t>
            </w:r>
          </w:p>
        </w:tc>
      </w:tr>
      <w:tr>
        <w:tc>
          <w:tcPr>
            <w:tcW w:w="30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A. Equipamiento Físico de Sala</w:t>
            </w:r>
          </w:p>
        </w:tc>
        <w:tc>
          <w:tcPr>
            <w:tcW w:w="24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Pago Único (Hardware)</w:t>
            </w:r>
          </w:p>
        </w:tc>
        <w:tc>
          <w:tcPr>
            <w:tcW w:w="24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45 a 60 min de respaldo en apagones</w:t>
            </w:r>
          </w:p>
        </w:tc>
        <w:tc>
          <w:tcPr>
            <w:tcW w:w="1800" w:type="dxa"/>
            <w:shd w:val="clear" w:color="auto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sz w:val="17"/>
              </w:rPr>
              <w:t>$862,46 USD</w:t>
            </w:r>
          </w:p>
        </w:tc>
      </w:tr>
      <w:tr>
        <w:tc>
          <w:tcPr>
            <w:tcW w:w="30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B. Servidor Cloud VPS (Nube)</w:t>
            </w:r>
          </w:p>
        </w:tc>
        <w:tc>
          <w:tcPr>
            <w:tcW w:w="24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Suscripción Mensual</w:t>
            </w:r>
          </w:p>
        </w:tc>
        <w:tc>
          <w:tcPr>
            <w:tcW w:w="24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24/7 en línea para los 13 municipios</w:t>
            </w:r>
          </w:p>
        </w:tc>
        <w:tc>
          <w:tcPr>
            <w:tcW w:w="1800" w:type="dxa"/>
            <w:shd w:val="clear" w:color="auto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sz w:val="17"/>
              </w:rPr>
              <w:t>$24,50 USD / mes</w:t>
            </w:r>
          </w:p>
        </w:tc>
      </w:tr>
      <w:tr>
        <w:tc>
          <w:tcPr>
            <w:tcW w:w="3000" w:type="dxa"/>
            <w:shd w:val="clear" w:color="auto" w:fill="F5F5F5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TOTAL INVERSIÓN INICIAL (EQUIPOS)</w:t>
            </w:r>
          </w:p>
        </w:tc>
        <w:tc>
          <w:tcPr>
            <w:tcW w:w="2400" w:type="dxa"/>
            <w:shd w:val="clear" w:color="auto" w:fill="F5F5F5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Pago Único (Dotación Completa)</w:t>
            </w:r>
          </w:p>
        </w:tc>
        <w:tc>
          <w:tcPr>
            <w:tcW w:w="2400" w:type="dxa"/>
            <w:shd w:val="clear" w:color="auto" w:fill="F5F5F5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Sala Situacional + Puesta en Marcha</w:t>
            </w:r>
          </w:p>
        </w:tc>
        <w:tc>
          <w:tcPr>
            <w:tcW w:w="1800" w:type="dxa"/>
            <w:shd w:val="clear" w:color="auto" w:fill="F5F5F5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b/>
                <w:sz w:val="17"/>
              </w:rPr>
              <w:t>$862,46 USD</w:t>
            </w:r>
          </w:p>
        </w:tc>
      </w:tr>
    </w:tbl>
    <w:p>
      <w:pPr>
        <w:spacing w:before="6" w:after="20" w:line="200" w:lineRule="auto"/>
        <w:jc w:val="both"/>
      </w:pPr>
      <w:r>
        <w:rPr>
          <w:rFonts w:ascii="Times New Roman" w:hAnsi="Times New Roman"/>
          <w:i/>
          <w:sz w:val="16"/>
          <w:szCs w:val="16"/>
          <w:color w:val="444444"/>
        </w:rPr>
        <w:t>* Nota: El Servidor Cloud VPS constituye un costo operativo recurrente de $24,50 USD/mes pagadero mes a mes según el período de campaña.</w:t>
      </w:r>
    </w:p>
    <w:p>
      <w:pPr>
        <w:spacing w:before="0" w:after="10" w:line="240" w:lineRule="auto"/>
      </w:pPr>
    </w:p>
    <w:p>
      <w:pPr>
        <w:spacing w:before="10" w:after="6" w:line="240" w:lineRule="auto"/>
        <w:jc w:val="center"/>
      </w:pPr>
      <w:r>
        <w:rPr>
          <w:rFonts w:ascii="Times New Roman" w:hAnsi="Times New Roman"/>
          <w:b/>
          <w:sz w:val="22"/>
          <w:szCs w:val="22"/>
        </w:rPr>
        <w:t>2. DETALLE DE EQUIPAMIENTO E INSTALACIÓN (SALA SITUACIONAL)</w:t>
      </w:r>
    </w:p>
    <w:p>
      <w:pPr>
        <w:spacing w:before="0" w:after="8" w:line="260" w:lineRule="auto"/>
        <w:ind w:firstLine="567"/>
        <w:jc w:val="both"/>
      </w:pPr>
      <w:r>
        <w:rPr>
          <w:rFonts w:ascii="Times New Roman" w:hAnsi="Times New Roman"/>
          <w:sz w:val="21"/>
          <w:szCs w:val="21"/>
        </w:rPr>
        <w:t xml:space="preserve">Se descartan servidores industriales pesados de rack (Dell PowerEdge antiguos) debido a su excesivo consumo eléctrico (300W a 500W), ruido ensordecedor y escasa autonomía en UPS. En su lugar, se implementa una estación de trabajo Dell OptiPlex Core i7 con almacenamiento dual 100% en estado sólido en arreglo espejo (RAID 1) y consumo eficiente (65W). A continuación se presenta el desglose presupuestario estimado a partir de valores referenciales del mercado nacional (precios referenciales sujetos a disponibilidad de proveedores al momento de la compra):</w:t>
      </w:r>
    </w:p>
    <w:tbl>
      <w:tblPr>
        <w:tblW w:w="0" w:type="auto"/>
        <w:jc w:val="center"/>
        <w:tblBorders>
          <w:top w:val="single" w:sz="6" w:space="0" w:color="000000"/>
          <w:left w:val="none"/>
          <w:bottom w:val="single" w:sz="6" w:space="0" w:color="000000"/>
          <w:right w:val="none"/>
          <w:insideH w:val="single" w:sz="4" w:space="0" w:color="CCCCCC"/>
          <w:insideV w:val="non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00"/>
        <w:gridCol w:w="2400"/>
        <w:gridCol w:w="3800"/>
        <w:gridCol w:w="600"/>
        <w:gridCol w:w="1100"/>
        <w:gridCol w:w="1300"/>
      </w:tblGrid>
      <w:tr>
        <w:trPr>
          <w:tblHeader/>
        </w:trPr>
        <w:tc>
          <w:tcPr>
            <w:tcW w:w="400" w:type="dxa"/>
            <w:shd w:val="clear" w:color="auto" w:fill="EAEAEA"/>
          </w:tcPr>
          <w:p>
            <w:pPr>
              <w:spacing w:before="10" w:after="10" w:line="22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N°</w:t>
            </w:r>
          </w:p>
        </w:tc>
        <w:tc>
          <w:tcPr>
            <w:tcW w:w="2400" w:type="dxa"/>
            <w:shd w:val="clear" w:color="auto" w:fill="EAEAEA"/>
          </w:tcPr>
          <w:p>
            <w:pPr>
              <w:spacing w:before="10" w:after="10" w:line="22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Equipo / Dispositivo</w:t>
            </w:r>
          </w:p>
        </w:tc>
        <w:tc>
          <w:tcPr>
            <w:tcW w:w="3800" w:type="dxa"/>
            <w:shd w:val="clear" w:color="auto" w:fill="EAEAEA"/>
          </w:tcPr>
          <w:p>
            <w:pPr>
              <w:spacing w:before="10" w:after="10" w:line="22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Especificación Técnica Real</w:t>
            </w:r>
          </w:p>
        </w:tc>
        <w:tc>
          <w:tcPr>
            <w:tcW w:w="600" w:type="dxa"/>
            <w:shd w:val="clear" w:color="auto" w:fill="EAEAEA"/>
          </w:tcPr>
          <w:p>
            <w:pPr>
              <w:spacing w:before="10" w:after="10" w:line="22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Cant.</w:t>
            </w:r>
          </w:p>
        </w:tc>
        <w:tc>
          <w:tcPr>
            <w:tcW w:w="1100" w:type="dxa"/>
            <w:shd w:val="clear" w:color="auto" w:fill="EAEAEA"/>
          </w:tcPr>
          <w:p>
            <w:pPr>
              <w:spacing w:before="10" w:after="10" w:line="22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Ref. Unit.</w:t>
            </w:r>
          </w:p>
        </w:tc>
        <w:tc>
          <w:tcPr>
            <w:tcW w:w="1300" w:type="dxa"/>
            <w:shd w:val="clear" w:color="auto" w:fill="EAEAEA"/>
          </w:tcPr>
          <w:p>
            <w:pPr>
              <w:spacing w:before="10" w:after="10" w:line="220" w:lineRule="auto"/>
              <w:jc w:val="right"/>
            </w:pPr>
            <w:r>
              <w:rPr>
                <w:rFonts w:ascii="Times New Roman" w:hAnsi="Times New Roman"/>
                <w:b/>
                <w:sz w:val="17"/>
              </w:rPr>
              <w:t>Total Estimado</w:t>
            </w:r>
          </w:p>
        </w:tc>
      </w:tr>
      <w:tr>
        <w:tc>
          <w:tcPr>
            <w:tcW w:w="400" w:type="dxa"/>
            <w:shd w:val="clear" w:color="auto"/>
          </w:tcPr>
          <w:p>
            <w:pPr>
              <w:spacing w:before="6" w:after="6" w:line="220" w:lineRule="auto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24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Computador Servidor Dell OptiPlex</w:t>
            </w:r>
          </w:p>
        </w:tc>
        <w:tc>
          <w:tcPr>
            <w:tcW w:w="38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Core i7-6700 (3.40 GHz), 8 GB RAM DDR4 (expandible), chasis SFF silencioso (65W)</w:t>
            </w:r>
          </w:p>
        </w:tc>
        <w:tc>
          <w:tcPr>
            <w:tcW w:w="600" w:type="dxa"/>
            <w:shd w:val="clear" w:color="auto"/>
          </w:tcPr>
          <w:p>
            <w:pPr>
              <w:spacing w:before="6" w:after="6" w:line="220" w:lineRule="auto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1100" w:type="dxa"/>
            <w:shd w:val="clear" w:color="auto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sz w:val="17"/>
              </w:rPr>
              <w:t>$215,00</w:t>
            </w:r>
          </w:p>
        </w:tc>
        <w:tc>
          <w:tcPr>
            <w:tcW w:w="1300" w:type="dxa"/>
            <w:shd w:val="clear" w:color="auto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sz w:val="17"/>
              </w:rPr>
              <w:t>$215,00 USD</w:t>
            </w:r>
          </w:p>
        </w:tc>
      </w:tr>
      <w:tr>
        <w:tc>
          <w:tcPr>
            <w:tcW w:w="400" w:type="dxa"/>
            <w:shd w:val="clear" w:color="auto"/>
          </w:tcPr>
          <w:p>
            <w:pPr>
              <w:spacing w:before="6" w:after="6" w:line="220" w:lineRule="auto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w="24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Discos Sólidos SSD 480GB (RAID 1)</w:t>
            </w:r>
          </w:p>
        </w:tc>
        <w:tc>
          <w:tcPr>
            <w:tcW w:w="38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2x SSD SATA 2.5" 480GB WD Green en Espejo simétrico (Sistema y Base de Datos)</w:t>
            </w:r>
          </w:p>
        </w:tc>
        <w:tc>
          <w:tcPr>
            <w:tcW w:w="600" w:type="dxa"/>
            <w:shd w:val="clear" w:color="auto"/>
          </w:tcPr>
          <w:p>
            <w:pPr>
              <w:spacing w:before="6" w:after="6" w:line="220" w:lineRule="auto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w="1100" w:type="dxa"/>
            <w:shd w:val="clear" w:color="auto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sz w:val="17"/>
              </w:rPr>
              <w:t>$109,99</w:t>
            </w:r>
          </w:p>
        </w:tc>
        <w:tc>
          <w:tcPr>
            <w:tcW w:w="1300" w:type="dxa"/>
            <w:shd w:val="clear" w:color="auto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sz w:val="17"/>
              </w:rPr>
              <w:t>$219,98 USD</w:t>
            </w:r>
          </w:p>
        </w:tc>
      </w:tr>
      <w:tr>
        <w:tc>
          <w:tcPr>
            <w:tcW w:w="400" w:type="dxa"/>
            <w:shd w:val="clear" w:color="auto"/>
          </w:tcPr>
          <w:p>
            <w:pPr>
              <w:spacing w:before="6" w:after="6" w:line="220" w:lineRule="auto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w="24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Router Gateway MikroTik hEX</w:t>
            </w:r>
          </w:p>
        </w:tc>
        <w:tc>
          <w:tcPr>
            <w:tcW w:w="38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MikroTik RB750Gr3 (Dual Core 880MHz, 5 Puertos Gigabit). Firewall y túnel WireGuard</w:t>
            </w:r>
          </w:p>
        </w:tc>
        <w:tc>
          <w:tcPr>
            <w:tcW w:w="600" w:type="dxa"/>
            <w:shd w:val="clear" w:color="auto"/>
          </w:tcPr>
          <w:p>
            <w:pPr>
              <w:spacing w:before="6" w:after="6" w:line="220" w:lineRule="auto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1100" w:type="dxa"/>
            <w:shd w:val="clear" w:color="auto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sz w:val="17"/>
              </w:rPr>
              <w:t>$105,00</w:t>
            </w:r>
          </w:p>
        </w:tc>
        <w:tc>
          <w:tcPr>
            <w:tcW w:w="1300" w:type="dxa"/>
            <w:shd w:val="clear" w:color="auto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sz w:val="17"/>
              </w:rPr>
              <w:t>$105,00 USD</w:t>
            </w:r>
          </w:p>
        </w:tc>
      </w:tr>
      <w:tr>
        <w:tc>
          <w:tcPr>
            <w:tcW w:w="400" w:type="dxa"/>
            <w:shd w:val="clear" w:color="auto"/>
          </w:tcPr>
          <w:p>
            <w:pPr>
              <w:spacing w:before="6" w:after="6" w:line="220" w:lineRule="auto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24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Switch Gigabit de Sala (16 Puertos)</w:t>
            </w:r>
          </w:p>
        </w:tc>
        <w:tc>
          <w:tcPr>
            <w:tcW w:w="38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TP-Link TL-SG1016D 16 Puertos 10/100/1000 Mbps chasis metálico para distribución</w:t>
            </w:r>
          </w:p>
        </w:tc>
        <w:tc>
          <w:tcPr>
            <w:tcW w:w="600" w:type="dxa"/>
            <w:shd w:val="clear" w:color="auto"/>
          </w:tcPr>
          <w:p>
            <w:pPr>
              <w:spacing w:before="6" w:after="6" w:line="220" w:lineRule="auto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1100" w:type="dxa"/>
            <w:shd w:val="clear" w:color="auto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sz w:val="17"/>
              </w:rPr>
              <w:t>$99,96</w:t>
            </w:r>
          </w:p>
        </w:tc>
        <w:tc>
          <w:tcPr>
            <w:tcW w:w="1300" w:type="dxa"/>
            <w:shd w:val="clear" w:color="auto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sz w:val="17"/>
              </w:rPr>
              <w:t>$99,96 USD</w:t>
            </w:r>
          </w:p>
        </w:tc>
      </w:tr>
      <w:tr>
        <w:tc>
          <w:tcPr>
            <w:tcW w:w="400" w:type="dxa"/>
            <w:shd w:val="clear" w:color="auto"/>
          </w:tcPr>
          <w:p>
            <w:pPr>
              <w:spacing w:before="6" w:after="6" w:line="220" w:lineRule="auto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24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Bobina Cable UTP Cat6 (305 metros)</w:t>
            </w:r>
          </w:p>
        </w:tc>
        <w:tc>
          <w:tcPr>
            <w:tcW w:w="38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Bobina 305m Cat6 STC interior 100% cobre para cableado estructurado de puestos</w:t>
            </w:r>
          </w:p>
        </w:tc>
        <w:tc>
          <w:tcPr>
            <w:tcW w:w="600" w:type="dxa"/>
            <w:shd w:val="clear" w:color="auto"/>
          </w:tcPr>
          <w:p>
            <w:pPr>
              <w:spacing w:before="6" w:after="6" w:line="220" w:lineRule="auto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1100" w:type="dxa"/>
            <w:shd w:val="clear" w:color="auto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sz w:val="17"/>
              </w:rPr>
              <w:t>$72,99</w:t>
            </w:r>
          </w:p>
        </w:tc>
        <w:tc>
          <w:tcPr>
            <w:tcW w:w="1300" w:type="dxa"/>
            <w:shd w:val="clear" w:color="auto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sz w:val="17"/>
              </w:rPr>
              <w:t>$72,99 USD</w:t>
            </w:r>
          </w:p>
        </w:tc>
      </w:tr>
      <w:tr>
        <w:tc>
          <w:tcPr>
            <w:tcW w:w="400" w:type="dxa"/>
            <w:shd w:val="clear" w:color="auto"/>
          </w:tcPr>
          <w:p>
            <w:pPr>
              <w:spacing w:before="6" w:after="6" w:line="220" w:lineRule="auto"/>
              <w:jc w:val="center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w="24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Conectores RJ45 Cat6 (Caja 100 un.)</w:t>
            </w:r>
          </w:p>
        </w:tc>
        <w:tc>
          <w:tcPr>
            <w:tcW w:w="38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Conectores RJ45 Cat6 con contactos dorados de alta conductividad para patch cords</w:t>
            </w:r>
          </w:p>
        </w:tc>
        <w:tc>
          <w:tcPr>
            <w:tcW w:w="600" w:type="dxa"/>
            <w:shd w:val="clear" w:color="auto"/>
          </w:tcPr>
          <w:p>
            <w:pPr>
              <w:spacing w:before="6" w:after="6" w:line="220" w:lineRule="auto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1100" w:type="dxa"/>
            <w:shd w:val="clear" w:color="auto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sz w:val="17"/>
              </w:rPr>
              <w:t>$6,62</w:t>
            </w:r>
          </w:p>
        </w:tc>
        <w:tc>
          <w:tcPr>
            <w:tcW w:w="1300" w:type="dxa"/>
            <w:shd w:val="clear" w:color="auto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sz w:val="17"/>
              </w:rPr>
              <w:t>$6,62 USD</w:t>
            </w:r>
          </w:p>
        </w:tc>
      </w:tr>
      <w:tr>
        <w:tc>
          <w:tcPr>
            <w:tcW w:w="400" w:type="dxa"/>
            <w:shd w:val="clear" w:color="auto"/>
          </w:tcPr>
          <w:p>
            <w:pPr>
              <w:spacing w:before="6" w:after="6" w:line="220" w:lineRule="auto"/>
              <w:jc w:val="center"/>
            </w:pPr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w="24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Kit de Herramientas de Red UTP</w:t>
            </w:r>
          </w:p>
        </w:tc>
        <w:tc>
          <w:tcPr>
            <w:tcW w:w="38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Kit completo: ponchadora/crimpeadora RJ45-RJ11 + tester UTP probador de cable</w:t>
            </w:r>
          </w:p>
        </w:tc>
        <w:tc>
          <w:tcPr>
            <w:tcW w:w="600" w:type="dxa"/>
            <w:shd w:val="clear" w:color="auto"/>
          </w:tcPr>
          <w:p>
            <w:pPr>
              <w:spacing w:before="6" w:after="6" w:line="220" w:lineRule="auto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1100" w:type="dxa"/>
            <w:shd w:val="clear" w:color="auto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sz w:val="17"/>
              </w:rPr>
              <w:t>$12,50</w:t>
            </w:r>
          </w:p>
        </w:tc>
        <w:tc>
          <w:tcPr>
            <w:tcW w:w="1300" w:type="dxa"/>
            <w:shd w:val="clear" w:color="auto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sz w:val="17"/>
              </w:rPr>
              <w:t>$12,50 USD</w:t>
            </w:r>
          </w:p>
        </w:tc>
      </w:tr>
      <w:tr>
        <w:tc>
          <w:tcPr>
            <w:tcW w:w="400" w:type="dxa"/>
            <w:shd w:val="clear" w:color="auto"/>
          </w:tcPr>
          <w:p>
            <w:pPr>
              <w:spacing w:before="6" w:after="6" w:line="220" w:lineRule="auto"/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w="24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UPS de Respaldo Eléctrico 1.200 VA</w:t>
            </w:r>
          </w:p>
        </w:tc>
        <w:tc>
          <w:tcPr>
            <w:tcW w:w="3800" w:type="dxa"/>
            <w:shd w:val="clear" w:color="auto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sz w:val="17"/>
              </w:rPr>
              <w:t>UPS Epcom EPU1200LCD 1.200 VA con pantalla digital interactiva y regulador AVR</w:t>
            </w:r>
          </w:p>
        </w:tc>
        <w:tc>
          <w:tcPr>
            <w:tcW w:w="600" w:type="dxa"/>
            <w:shd w:val="clear" w:color="auto"/>
          </w:tcPr>
          <w:p>
            <w:pPr>
              <w:spacing w:before="6" w:after="6" w:line="220" w:lineRule="auto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1100" w:type="dxa"/>
            <w:shd w:val="clear" w:color="auto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sz w:val="17"/>
              </w:rPr>
              <w:t>$130,41</w:t>
            </w:r>
          </w:p>
        </w:tc>
        <w:tc>
          <w:tcPr>
            <w:tcW w:w="1300" w:type="dxa"/>
            <w:shd w:val="clear" w:color="auto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sz w:val="17"/>
              </w:rPr>
              <w:t>$130,41 USD</w:t>
            </w:r>
          </w:p>
        </w:tc>
      </w:tr>
      <w:tr>
        <w:tc>
          <w:tcPr>
            <w:tcW w:w="400" w:type="dxa"/>
            <w:shd w:val="clear" w:color="auto" w:fill="F5F5F5"/>
          </w:tcPr>
          <w:p>
            <w:pPr>
              <w:spacing w:before="6" w:after="6" w:line="22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—</w:t>
            </w:r>
          </w:p>
        </w:tc>
        <w:tc>
          <w:tcPr>
            <w:tcW w:w="2400" w:type="dxa"/>
            <w:shd w:val="clear" w:color="auto" w:fill="F5F5F5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TOTAL PRESUPUESTO ESTIMADO</w:t>
            </w:r>
          </w:p>
        </w:tc>
        <w:tc>
          <w:tcPr>
            <w:tcW w:w="3800" w:type="dxa"/>
            <w:shd w:val="clear" w:color="auto" w:fill="F5F5F5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Dotación completa de cómputo, almacenamiento RAID 1, red y respaldo eléctrico</w:t>
            </w:r>
          </w:p>
        </w:tc>
        <w:tc>
          <w:tcPr>
            <w:tcW w:w="600" w:type="dxa"/>
            <w:shd w:val="clear" w:color="auto" w:fill="F5F5F5"/>
          </w:tcPr>
          <w:p>
            <w:pPr>
              <w:spacing w:before="6" w:after="6" w:line="22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—</w:t>
            </w:r>
          </w:p>
        </w:tc>
        <w:tc>
          <w:tcPr>
            <w:tcW w:w="1100" w:type="dxa"/>
            <w:shd w:val="clear" w:color="auto" w:fill="F5F5F5"/>
          </w:tcPr>
          <w:p>
            <w:pPr>
              <w:spacing w:before="6" w:after="6" w:line="22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—</w:t>
            </w:r>
          </w:p>
        </w:tc>
        <w:tc>
          <w:tcPr>
            <w:tcW w:w="1300" w:type="dxa"/>
            <w:shd w:val="clear" w:color="auto" w:fill="F5F5F5"/>
          </w:tcPr>
          <w:p>
            <w:pPr>
              <w:spacing w:before="6" w:after="6" w:line="220" w:lineRule="auto"/>
              <w:jc w:val="right"/>
            </w:pPr>
            <w:r>
              <w:rPr>
                <w:rFonts w:ascii="Times New Roman" w:hAnsi="Times New Roman"/>
                <w:b/>
                <w:sz w:val="17"/>
              </w:rPr>
              <w:t>$862,46 USD</w:t>
            </w:r>
          </w:p>
        </w:tc>
      </w:tr>
    </w:tbl>
    <w:p>
      <w:pPr>
        <w:spacing w:before="6" w:after="20" w:line="200" w:lineRule="auto"/>
        <w:jc w:val="both"/>
      </w:pPr>
      <w:r>
        <w:rPr>
          <w:rFonts w:ascii="Times New Roman" w:hAnsi="Times New Roman"/>
          <w:i/>
          <w:sz w:val="16"/>
          <w:szCs w:val="16"/>
          <w:color w:val="444444"/>
        </w:rPr>
        <w:t>* Nota de Presupuesto: Los valores reflejados corresponden a un presupuesto estimativo con precios referenciales de mercado y no constituyen una cotización formal ni oferta comercial vinculante de un proveedor en específico. Placa OptiPlex 5040 posee 1 slot M.2 y 2 puertos SATA III; para RAID 1 simétrico estable sin recalentamiento en SFF, se emplean dos discos SSD SATA nativos.</w:t>
      </w:r>
    </w:p>
    <w:p>
      <w:r>
        <w:br w:type="page"/>
      </w:r>
    </w:p>
    <w:p>
      <w:pPr>
        <w:spacing w:before="10" w:after="15" w:line="240" w:lineRule="auto"/>
        <w:jc w:val="center"/>
      </w:pPr>
      <w:r>
        <w:rPr>
          <w:rFonts w:ascii="Times New Roman" w:hAnsi="Times New Roman"/>
          <w:b/>
          <w:sz w:val="22"/>
          <w:szCs w:val="22"/>
        </w:rPr>
        <w:t>3. ARQUITECTURA: VANGUARDIA EN LA NUBE Y BÓVEDA FÍSICA</w:t>
      </w:r>
    </w:p>
    <w:p>
      <w:pPr>
        <w:spacing w:before="0" w:after="12" w:line="260" w:lineRule="auto"/>
        <w:ind w:firstLine="567"/>
        <w:jc w:val="both"/>
      </w:pPr>
      <w:r>
        <w:rPr>
          <w:rFonts w:ascii="Times New Roman" w:hAnsi="Times New Roman"/>
          <w:sz w:val="21"/>
          <w:szCs w:val="21"/>
        </w:rPr>
        <w:t xml:space="preserve">Para blindar la plataforma política contra sabotajes, bloqueos o apagones, la infraestructura opera bajo un modelo de dos capas: Vanguardia en la Nube (Front-line) y Bóveda Blindada en Físico (Data Vault):</w:t>
      </w:r>
    </w:p>
    <w:p>
      <w:pPr>
        <w:spacing w:before="0" w:after="10" w:line="250" w:lineRule="auto"/>
        <w:ind w:left="360" w:hanging="360"/>
        <w:jc w:val="both"/>
      </w:pPr>
      <w:r>
        <w:rPr>
          <w:rFonts w:ascii="Times New Roman" w:hAnsi="Times New Roman"/>
          <w:b/>
          <w:sz w:val="20"/>
        </w:rPr>
        <w:t xml:space="preserve">• 1. Vanguardia en la Nube (Cloud VPS Front-line): </w:t>
      </w:r>
      <w:r>
        <w:rPr>
          <w:rFonts w:ascii="Times New Roman" w:hAnsi="Times New Roman"/>
          <w:sz w:val="20"/>
        </w:rPr>
        <w:t xml:space="preserve">Constituye la primera línea de recepción. Recibe el tráfico masivo de teléfonos de testigos en los 13 municipios, valida reportes y absorbe cualquier ataque cibernético (DDoS) sin exponer la dirección IP ni la ubicación física de la sede en Maturín.</w:t>
      </w:r>
    </w:p>
    <w:p>
      <w:pPr>
        <w:spacing w:before="0" w:after="10" w:line="250" w:lineRule="auto"/>
        <w:ind w:left="360" w:hanging="360"/>
        <w:jc w:val="both"/>
      </w:pPr>
      <w:r>
        <w:rPr>
          <w:rFonts w:ascii="Times New Roman" w:hAnsi="Times New Roman"/>
          <w:b/>
          <w:sz w:val="20"/>
        </w:rPr>
        <w:t xml:space="preserve">• 2. Enlace Cifrado y Replicación Continua: </w:t>
      </w:r>
      <w:r>
        <w:rPr>
          <w:rFonts w:ascii="Times New Roman" w:hAnsi="Times New Roman"/>
          <w:sz w:val="20"/>
        </w:rPr>
        <w:t xml:space="preserve">El Servidor Cloud VPS retransmite las transacciones en tiempo real al computador Dell de la oficina en Maturín a través de un túnel seguro VPN WireGuard gestionado por el router MikroTik.</w:t>
      </w:r>
    </w:p>
    <w:p>
      <w:pPr>
        <w:spacing w:before="0" w:after="10" w:line="250" w:lineRule="auto"/>
        <w:ind w:left="360" w:hanging="360"/>
        <w:jc w:val="both"/>
      </w:pPr>
      <w:r>
        <w:rPr>
          <w:rFonts w:ascii="Times New Roman" w:hAnsi="Times New Roman"/>
          <w:b/>
          <w:sz w:val="20"/>
        </w:rPr>
        <w:t xml:space="preserve">• 3. Bóveda Física en Espejo (RAID 1): </w:t>
      </w:r>
      <w:r>
        <w:rPr>
          <w:rFonts w:ascii="Times New Roman" w:hAnsi="Times New Roman"/>
          <w:sz w:val="20"/>
        </w:rPr>
        <w:t xml:space="preserve">El computador Dell en sala graba cada voto y acta simultáneamente en sus dos unidades SSD. Si Conatel bloquea la nube o se corta el internet internacional, MIGATO conserva el 100% de la información físicamente en sus manos, inconfiscable e imborrable.</w:t>
      </w:r>
    </w:p>
    <w:p>
      <w:pPr>
        <w:spacing w:before="0" w:after="18" w:line="250" w:lineRule="auto"/>
        <w:ind w:left="360" w:hanging="360"/>
        <w:jc w:val="both"/>
      </w:pPr>
      <w:r>
        <w:rPr>
          <w:rFonts w:ascii="Times New Roman" w:hAnsi="Times New Roman"/>
          <w:b/>
          <w:sz w:val="20"/>
        </w:rPr>
        <w:t xml:space="preserve">• 4. Respaldo Eléctrico y Autonomía Local: </w:t>
      </w:r>
      <w:r>
        <w:rPr>
          <w:rFonts w:ascii="Times New Roman" w:hAnsi="Times New Roman"/>
          <w:sz w:val="20"/>
        </w:rPr>
        <w:t xml:space="preserve">En caso de corte eléctrico en Maturín, el UPS mantiene la estación Dell, el switch y el MikroTik operando durante 45 a 60 minutos. Si el corte persiste, la sala continúa procesando actas en red local por llamadas directas sin depender de la nube.</w:t>
      </w:r>
    </w:p>
    <w:p>
      <w:pPr>
        <w:spacing w:before="15" w:after="10" w:line="240" w:lineRule="auto"/>
        <w:jc w:val="center"/>
      </w:pPr>
      <w:r>
        <w:rPr>
          <w:rFonts w:ascii="Times New Roman" w:hAnsi="Times New Roman"/>
          <w:b/>
          <w:sz w:val="22"/>
          <w:szCs w:val="22"/>
        </w:rPr>
        <w:t>4. RECOMENDACIÓN FINAL Y DECISIÓN</w:t>
      </w:r>
    </w:p>
    <w:p>
      <w:pPr>
        <w:spacing w:before="0" w:after="25" w:line="260" w:lineRule="auto"/>
        <w:ind w:firstLine="567"/>
        <w:jc w:val="both"/>
      </w:pPr>
      <w:r>
        <w:rPr>
          <w:rFonts w:ascii="Times New Roman" w:hAnsi="Times New Roman"/>
          <w:sz w:val="21"/>
          <w:szCs w:val="21"/>
        </w:rPr>
        <w:t xml:space="preserve">Se recomienda formalmente la aprobación del presupuesto estimado de $862,46 USD para la dotación de la Sala Situacional y la suscripción del Servidor Cloud VPS ($24,50 USD/mes), otorgando a MIGATO una plataforma territorial moderna, de máxima velocidad y blindada contra fallas. Nota de Seguridad: El sistema de cámaras de videovigilancia (CCTV) se presupuestará por separado más adelante según lo instruido; no obstante, el switch de 16 puertos, el kit de herramientas y la bobina Cat6 presupuestados en este documento ya dejan instalados los puntos de red requeridos.</w:t>
      </w:r>
    </w:p>
    <w:p>
      <w:pPr>
        <w:spacing w:before="15" w:after="20" w:line="240" w:lineRule="auto"/>
        <w:jc w:val="center"/>
      </w:pPr>
      <w:r>
        <w:rPr>
          <w:rFonts w:ascii="Times New Roman" w:hAnsi="Times New Roman"/>
          <w:b/>
          <w:sz w:val="22"/>
          <w:szCs w:val="22"/>
        </w:rPr>
        <w:t>5. CONFORMIDAD Y FIRMAS AUTORIZADAS</w:t>
      </w:r>
    </w:p>
    <w:tbl>
      <w:tblPr>
        <w:tblW w:w="8260" w:type="dxa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130"/>
        <w:gridCol w:w="4130"/>
      </w:tblGrid>
      <w:tr>
        <w:tc>
          <w:tcPr>
            <w:tcW w:w="4130" w:type="dxa"/>
          </w:tcPr>
          <w:p>
            <w:pPr>
              <w:spacing w:before="120" w:after="15" w:line="240" w:lineRule="auto"/>
              <w:jc w:val="center"/>
            </w:pPr>
            <w:r>
              <w:t>_______________________________________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  <w:color w:val="000000"/>
              </w:rPr>
              <w:t>COMANDO ESTRATÉGICO MIGATO</w:t>
            </w:r>
          </w:p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/>
                <w:sz w:val="15"/>
                <w:color w:val="555555"/>
              </w:rPr>
              <w:t>Dirección de Operaciones • El Gato Briceño</w:t>
            </w:r>
          </w:p>
        </w:tc>
        <w:tc>
          <w:tcPr>
            <w:tcW w:w="4130" w:type="dxa"/>
          </w:tcPr>
          <w:p>
            <w:pPr>
              <w:spacing w:before="120" w:after="15" w:line="240" w:lineRule="auto"/>
              <w:jc w:val="center"/>
            </w:pPr>
            <w:r>
              <w:t>_______________________________________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Times New Roman" w:hAnsi="Times New Roman"/>
                <w:b/>
                <w:sz w:val="19"/>
                <w:color w:val="000000"/>
              </w:rPr>
              <w:t>ING. DIEGO DONADO</w:t>
            </w:r>
          </w:p>
          <w:p>
            <w:pPr>
              <w:spacing w:before="0" w:after="0" w:line="200" w:lineRule="auto"/>
              <w:jc w:val="center"/>
            </w:pPr>
            <w:r>
              <w:rPr>
                <w:rFonts w:ascii="Times New Roman" w:hAnsi="Times New Roman"/>
                <w:sz w:val="15"/>
                <w:color w:val="555555"/>
              </w:rPr>
              <w:t>Responsable de Ciencia y Tecnología MIGATO</w:t>
            </w:r>
          </w:p>
        </w:tc>
      </w:tr>
    </w:tbl>
    <w:sectPr>
      <w:headerReference w:type="first" r:id="rIdHeaderFirst"/>
      <w:headerReference w:type="default" r:id="rIdHeader1"/>
      <w:footerReference w:type="first" r:id="rIdFooterFirst"/>
      <w:footerReference w:type="default" r:id="rIdFooter1"/>
      <w:titlePg/>
      <w:pgSz w:w="12240" w:h="15840"/>
      <w:pgMar w:top="1440" w:right="1440" w:bottom="1440" w:left="170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  <w:spacing w:before="60" w:after="0" w:line="240" w:lineRule="auto"/>
    </w:pPr>
    <w:r>
      <w:rPr>
        <w:rFonts w:ascii="Times New Roman" w:hAnsi="Times New Roman"/>
        <w:sz w:val="14"/>
        <w:color w:val="777777"/>
      </w:rPr>
      <w:t>Sala Situacional El Gato Briceño • Maturín, Estado Monagas</w:t>
    </w:r>
  </w:p>
</w:ftr>
</file>

<file path=word/footer_first.xml><?xml version="1.0" encoding="utf-8"?>
<w:ftr xmlns:w="http://schemas.openxmlformats.org/wordprocessingml/2006/main">
  <w:p>
    <w:pPr>
      <w:jc w:val="center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8260" w:type="dxa"/>
      <w:jc w:val="center"/>
      <w:tblBorders>
        <w:top w:val="none"/>
        <w:left w:val="none"/>
        <w:bottom w:val="single" w:sz="6" w:space="0" w:color="D1D5DB"/>
        <w:right w:val="none"/>
        <w:insideH w:val="none"/>
        <w:insideV w:val="none"/>
      </w:tblBorders>
      <w:tblCellMar>
        <w:top w:w="0" w:type="dxa"/>
        <w:left w:w="0" w:type="dxa"/>
        <w:bottom w:w="60" w:type="dxa"/>
        <w:right w:w="0" w:type="dxa"/>
      </w:tblCellMar>
    </w:tblPr>
    <w:tblGrid>
      <w:gridCol w:w="700"/>
      <w:gridCol w:w="5860"/>
      <w:gridCol w:w="1700"/>
    </w:tblGrid>
    <w:tr>
      <w:tc>
        <w:tcPr>
          <w:tcW w:w="700" w:type="dxa"/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distT="0" distB="0" distL="0" distR="0">
                <wp:extent cx="380000" cy="370000"/>
                <wp:docPr id="101" name="Logo Header"/>
                <a:graphic>
                  <a:graphicData uri="http://schemas.openxmlformats.org/drawingml/2006/picture">
                    <pic:pic>
                      <pic:nvPicPr>
                        <pic:cNvPr id="101" name="logo.png"/>
                        <pic:cNvPicPr/>
                      </pic:nvPicPr>
                      <pic:blipFill>
                        <a:blip r:embed="rIdHeader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0000" cy="37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0" w:type="dxa"/>
          <w:vAlign w:val="center"/>
        </w:tcPr>
        <w:p>
          <w:pPr>
            <w:spacing w:before="0" w:after="0" w:line="200" w:lineRule="auto"/>
            <w:jc w:val="center"/>
          </w:pPr>
          <w:r>
            <w:rPr>
              <w:rFonts w:ascii="Times New Roman" w:hAnsi="Times New Roman"/>
              <w:b/>
              <w:sz w:val="15"/>
              <w:szCs w:val="15"/>
              <w:color w:val="000000"/>
            </w:rPr>
            <w:t>MOVIMIENTO INDEPENDIENTE GANAMOS TODOS (MIGATO)</w:t>
          </w:r>
        </w:p>
        <w:p>
          <w:pPr>
            <w:spacing w:before="0" w:after="0" w:line="200" w:lineRule="auto"/>
            <w:jc w:val="center"/>
          </w:pPr>
          <w:r>
            <w:rPr>
              <w:rFonts w:ascii="Times New Roman" w:hAnsi="Times New Roman"/>
              <w:sz w:val="13"/>
              <w:szCs w:val="13"/>
              <w:color w:val="444444"/>
            </w:rPr>
            <w:t>EQUIPO TÉCNICO REGIONAL DE INFORMÁTICA Y SISTEMAS • ESTADO MONAGAS</w:t>
          </w:r>
        </w:p>
      </w:tc>
      <w:tc>
        <w:tcPr>
          <w:tcW w:w="1700" w:type="dxa"/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Times New Roman" w:hAnsi="Times New Roman"/>
              <w:sz w:val="15"/>
              <w:szCs w:val="15"/>
              <w:color w:val="444444"/>
            </w:rPr>
            <w:t>Página </w:t>
          </w:r>
          <w:fldSimple w:instr="PAGE"/>
          <w:r>
            <w:rPr>
              <w:rFonts w:ascii="Times New Roman" w:hAnsi="Times New Roman"/>
              <w:sz w:val="15"/>
              <w:szCs w:val="15"/>
              <w:color w:val="444444"/>
            </w:rPr>
            <w:t> de </w:t>
          </w:r>
          <w:fldSimple w:instr="NUMPAGES"/>
        </w:p>
      </w:tc>
    </w:tr>
  </w:tbl>
</w:hdr>
</file>

<file path=word/header_first.xml><?xml version="1.0" encoding="utf-8"?>
<w:hdr xmlns:w="http://schemas.openxmlformats.org/wordprocessingml/2006/main">
  <w:p>
    <w:pPr>
      <w:jc w:val="center"/>
    </w:pP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3"/>
        <w:szCs w:val="23"/>
        <w:color w:val="000000"/>
      </w:rPr>
    </w:rPrDefault>
    <w:pPrDefault>
      <w:pPr>
        <w:spacing w:line="280" w:lineRule="auto" w:before="0" w:after="0"/>
        <w:jc w:val="both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HeaderFirst" Type="http://schemas.openxmlformats.org/officeDocument/2006/relationships/header" Target="header_first.xml"/>
  <Relationship Id="rIdFooterFirst" Type="http://schemas.openxmlformats.org/officeDocument/2006/relationships/footer" Target="footer_first.xml"/>
  <Relationship Id="rIdLogo" Type="http://schemas.openxmlformats.org/officeDocument/2006/relationships/image" Target="media/logo.png"/>
</Relationships>
</file>

<file path=word/_rels/header1.xml.rels><?xml version="1.0" encoding="UTF-8" standalone="yes"?>
<Relationships xmlns="http://schemas.openxmlformats.org/package/2006/relationships">
  <Relationship Id="rIdHeaderLogo" Type="http://schemas.openxmlformats.org/officeDocument/2006/relationships/image" Target="media/logo.png"/>
</Relationships>
</file>