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_first.xml" ContentType="application/vnd.openxmlformats-officedocument.wordprocessingml.header+xml"/>
  <Override PartName="/word/footer_first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40"/>
      </w:pPr>
      <w:r>
        <w:rPr>
          <w:b/>
          <w:sz w:val="24"/>
          <w:color w:val="0F172A"/>
        </w:rPr>
        <w:t>REPÚBLICA BOLIVARIANA DE VENEZUELA • ESTADO MONAGAS</w:t>
      </w:r>
    </w:p>
    <w:p>
      <w:pPr>
        <w:jc w:val="center"/>
        <w:spacing w:after="40"/>
      </w:pPr>
      <w:r>
        <w:rPr>
          <w:b/>
          <w:sz w:val="22"/>
          <w:color w:val="0284C7"/>
        </w:rPr>
        <w:t>MOVIMIENTO INDEPENDIENTE GANAMOS TODOS (MIGATO)</w:t>
      </w:r>
    </w:p>
    <w:p>
      <w:pPr>
        <w:jc w:val="center"/>
        <w:spacing w:after="160"/>
      </w:pPr>
      <w:r>
        <w:rPr>
          <w:b/>
          <w:sz w:val="20"/>
          <w:color w:val="F59E0B"/>
        </w:rPr>
        <w:t>COMANDO ESTRATÉGICO DE CAMPAÑA • SALA SITUACIONAL EL GATO BRICEÑO</w:t>
      </w:r>
    </w:p>
    <w:p>
      <w:pPr>
        <w:jc w:val="center"/>
        <w:spacing w:before="100" w:after="200"/>
      </w:pPr>
      <w:r>
        <w:rPr>
          <w:b/>
          <w:sz w:val="30"/>
          <w:color w:val="0F172A"/>
        </w:rPr>
        <w:t>DICTAMEN TÉCNICO Y PRESUPUESTO FORMAL: INFRAESTRUCTURA DE SERVIDOR FÍSICO, ALMACENAMIENTO RAID Y GATEWAY MIKROTIK</w:t>
      </w:r>
    </w:p>
    <w:tbl>
      <w:tblPr>
        <w:tblW w:w="5000" w:type="pct"/>
        <w:tblBorders>
          <w:top w:val="single" w:sz="6" w:space="0" w:color="CBD5E1"/>
          <w:bottom w:val="single" w:sz="12" w:space="0" w:color="0F172A"/>
          <w:left w:val="none"/>
          <w:right w:val="none"/>
          <w:insideH w:val="single" w:sz="4" w:space="0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Campo Institucional</w:t>
            </w:r>
          </w:p>
        </w:tc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Detalle Oficial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Proyecto Tecnológico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Plataforma Territorial y Sala Situacional de Mando MIGATO 2026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Ámbito de Aplicación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Estado Monagas (Maturín y 13 Municipios)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Responsable Técnico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Ing. Diego Donado • División de Ciencia, Tecnología y Ciberdefensa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Destino del Equipamiento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Sede Central de Campaña y Sala Situacional de El Gato Briceño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Fuente de Cotizaciones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Precios Referenciales del Mercado Nacional • Mercado Libre Venezuela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Fecha de Emisión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Septiembre 2026</w:t>
            </w:r>
          </w:p>
        </w:tc>
      </w:tr>
    </w:tbl>
    <w:p>
      <w:pPr>
        <w:spacing w:after="100"/>
      </w:pPr>
    </w:p>
    <w:p>
      <w:pPr>
        <w:spacing w:before="260" w:after="100"/>
        <w:jc w:val="left"/>
      </w:pPr>
      <w:r>
        <w:rPr>
          <w:b/>
          <w:sz w:val="28"/>
          <w:color w:val="0F172A"/>
        </w:rPr>
        <w:t>CAPÍTULO I: JUSTIFICACIÓN DE LA ARQUITECTURA DE HARDWARE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Para dar soporte físico autónomo a los cinco (5) módulos del sistema (Lámina 120", Comandos, Estimación del Voto, Earth Monagas 3D GIS y Dashboard de Campaña), se selecciona una arquitectura de alta eficiencia energética y excelente relación costo-rendimiento basada en una estación de trabajo corporativa Dell OptiPlex con procesador Intel Core i7 de 8va Generación y 32 GB de memoria RAM DDR4.</w:t>
      </w:r>
    </w:p>
    <w:p>
      <w:pPr>
        <w:spacing w:before="180" w:after="80"/>
        <w:jc w:val="left"/>
      </w:pPr>
      <w:r>
        <w:rPr>
          <w:b/>
          <w:sz w:val="24"/>
          <w:color w:val="0284C7"/>
        </w:rPr>
        <w:t>1.1. Ventajas de la Plataforma Dell OptiPlex Core i7 (8va Generación)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• Alto Desempeño por Núcleo (IPC): El procesador Intel Core i7-8700 (6 núcleos / 12 hilos a 4.6 GHz) supera ampliamente a procesadores Xeon de generaciones anteriores en el procesamiento de consultas web y motor geoespacial PostgreSQL/PostGIS.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• Eficiencia Energética (Bajo Consumo de 65W): Consume una fracción de la energía de un servidor de rack antiguo (que consumen entre 300W y 500W). Esto permite que el sistema de respaldo eléctrico (UPS) rinda más del doble de tiempo de autonomía ante los apagones de Corpoelec.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• Operación Silenciosa y Compacta: No requiere salas de servidores con aire acondicionado industrial ni muebles pesados de rack.</w:t>
      </w:r>
    </w:p>
    <w:p>
      <w:pPr>
        <w:spacing w:before="180" w:after="80"/>
        <w:jc w:val="left"/>
      </w:pPr>
      <w:r>
        <w:rPr>
          <w:b/>
          <w:sz w:val="24"/>
          <w:color w:val="0284C7"/>
        </w:rPr>
        <w:t>1.2. Arquitectura de Discos 100% Estado Sólido en RAID 1 (Espejo)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Se descarta el uso de discos duros mecánicos (HDD) tradicionales debido a su lentitud, fragilidad y peso. Toda la base de datos de Monagas, polígonos cartográficos y fotos de actas electorales ocupan menos de 30 GB, por lo que un sistema con discos mecánicos representaría un gasto innecesario.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• Banco de Estado Sólido Dual (2x SSD 1TB SATA en RAID 1): Ambos discos operan de forma sincronizada y simultánea.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• Escritura Simultánea en Espejo: Cada vez que se registra un voto, un dirigente o un acta, la información se escribe al mismo microsegundo en ambos discos.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• Lectura Acelerada: El sistema lee de ambas unidades en paralelo, duplicando la velocidad de respuesta.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• Tolerancia a Fallas Absoluta: Si uno de los discos SSD llegase a fallar o quemarse, el segundo disco mantiene el servidor 100% operativo sin pérdida de datos ni caída del servicio. Al colocar un disco nuevo, el sistema se reconstruye automáticamente en segundo plano.</w:t>
      </w:r>
    </w:p>
    <w:p>
      <w:pPr>
        <w:spacing w:before="260" w:after="100"/>
        <w:jc w:val="left"/>
      </w:pPr>
      <w:r>
        <w:rPr>
          <w:b/>
          <w:sz w:val="28"/>
          <w:color w:val="0F172A"/>
        </w:rPr>
        <w:t>CAPÍTULO II: TOPOLOGÍA DE RED, MIKROTIK Y SWITCH GIGABIT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La infraestructura de red de la Sala Situacional se estructura en dos niveles fundamentales:</w:t>
      </w:r>
    </w:p>
    <w:p>
      <w:pPr>
        <w:jc w:val="both"/>
        <w:spacing w:after="120" w:line="300" w:lineRule="auto"/>
      </w:pPr>
      <w:r>
        <w:rPr>
          <w:b/>
          <w:sz w:val="22"/>
          <w:color w:val="1E293B"/>
        </w:rPr>
        <w:t>• FLUJO DE RED: </w:t>
      </w:r>
      <w:r>
        <w:rPr>
          <w:sz w:val="22"/>
          <w:color w:val="1E293B"/>
        </w:rPr>
        <w:t>Internet Proveedor 1 / Proveedor 2 ──► MikroTik hEX RB750Gr3 (Gateway/Firewall) ──► Switch Gigabit (Distribuidor) ──► Servidor Dell + PCs de Sala + Pantallas + Videovigilancia.</w:t>
      </w:r>
    </w:p>
    <w:p>
      <w:pPr>
        <w:jc w:val="both"/>
        <w:spacing w:after="120" w:line="300" w:lineRule="auto"/>
      </w:pPr>
      <w:r>
        <w:rPr>
          <w:b/>
          <w:sz w:val="22"/>
          <w:color w:val="1E293B"/>
        </w:rPr>
        <w:t>• 1. Router Gateway MikroTik hEX: </w:t>
      </w:r>
      <w:r>
        <w:rPr>
          <w:sz w:val="22"/>
          <w:color w:val="1E293B"/>
        </w:rPr>
        <w:t>Actúa como la puerta de enlace física y cortafuegos perimetral. Realiza conmutación automática de internet (Failover) entre dos proveedores para que la sala nunca se quede sin conexión, y provee túnel VPN seguro (WireGuard) para acceso remoto.</w:t>
      </w:r>
    </w:p>
    <w:p>
      <w:pPr>
        <w:jc w:val="both"/>
        <w:spacing w:after="120" w:line="300" w:lineRule="auto"/>
      </w:pPr>
      <w:r>
        <w:rPr>
          <w:b/>
          <w:sz w:val="22"/>
          <w:color w:val="1E293B"/>
        </w:rPr>
        <w:t>• 2. Switch Gigabit de Sala (Hikvision / TP-Link): </w:t>
      </w:r>
      <w:r>
        <w:rPr>
          <w:sz w:val="22"/>
          <w:color w:val="1E293B"/>
        </w:rPr>
        <w:t>El MikroTik posee 5 puertos, por lo que se requiere un switch Gigabit (marca Hikvision o TP-Link) de 16 puertos conectado directamente a él para multiplicar las bocas de red y enlazar el servidor, las computadoras de los operadores, las pantallas de sala y futuras cámaras de seguridad.</w:t>
      </w:r>
    </w:p>
    <w:p>
      <w:pPr>
        <w:jc w:val="both"/>
        <w:spacing w:after="120" w:line="300" w:lineRule="auto"/>
      </w:pPr>
      <w:r>
        <w:rPr>
          <w:b/>
          <w:sz w:val="22"/>
          <w:color w:val="1E293B"/>
        </w:rPr>
        <w:t>• 3. Bobina de Cableado Cat6 (305 metros): </w:t>
      </w:r>
      <w:r>
        <w:rPr>
          <w:sz w:val="22"/>
          <w:color w:val="1E293B"/>
        </w:rPr>
        <w:t>Se incorpora una bobina completa de 305 metros de cable UTP Cat6 para realizar el cableado estructurado formal de la sala, oficinas del comando y las conexiones a los equipos de cómputo y cámaras.</w:t>
      </w:r>
    </w:p>
    <w:p>
      <w:pPr>
        <w:spacing w:before="260" w:after="100"/>
        <w:jc w:val="left"/>
      </w:pPr>
      <w:r>
        <w:rPr>
          <w:b/>
          <w:sz w:val="28"/>
          <w:color w:val="0F172A"/>
        </w:rPr>
        <w:t>CAPÍTULO III: DESGLOSE DE COSTOS EN MERCADO LIBRE VENEZUELA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A continuación se detallan los costos individuales de cada componente físico investigados en el mercado venezolano (expresados en dólares estadounidenses USD, pagaderos a la tasa oficial BCV):</w:t>
      </w:r>
    </w:p>
    <w:tbl>
      <w:tblPr>
        <w:tblW w:w="5000" w:type="pct"/>
        <w:tblBorders>
          <w:top w:val="single" w:sz="6" w:space="0" w:color="CBD5E1"/>
          <w:bottom w:val="single" w:sz="12" w:space="0" w:color="0F172A"/>
          <w:left w:val="none"/>
          <w:right w:val="none"/>
          <w:insideH w:val="single" w:sz="4" w:space="0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Componente / Dispositivo</w:t>
            </w:r>
          </w:p>
        </w:tc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Especificación Técnica Real</w:t>
            </w:r>
          </w:p>
        </w:tc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Cant.</w:t>
            </w:r>
          </w:p>
        </w:tc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Costo Unit. (USD)</w:t>
            </w:r>
          </w:p>
        </w:tc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Total (USD)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Computador Servidor Dell OptiPlex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Core i7 8va Gen (i7-8700 6C/12T), 32GB RAM DDR4, Chasis Torre/SFF silencioso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1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$230.00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$230.00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Discos Sólidos SSD 1TB (RAID 1)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2x SSD 1TB SATA 2.5" Kingston KC600 / Crucial MX500 en Espejo (Sistema &amp; Datos)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2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$120.00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$240.00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Gateway MikroTik RouterBOARD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MikroTik hEX RB750Gr3 (Dual Core 880MHz, 256MB RAM, 5 Puertos Gigabit, RouterOS)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1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$105.00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$105.00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Switch de Distribución de Red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Switch Hikvision / TP-Link 16 Puertos Gigabit 10/100/1000 Mbps metálico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1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$65.00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$65.00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Bobina Cable UTP Cat6 (305m)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Bobina 305 metros Cat6 interior de alta velocidad + caja de 100 conectores RJ45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1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$95.00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$95.00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UPS de Respaldo Eléctrico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UPS 1.200 VA a 1.500 VA con supresor de picos (45 a 60 min autonomía con bajo consumo)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1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$165.00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$165.00</w:t>
            </w:r>
          </w:p>
        </w:tc>
      </w:tr>
      <w:tr>
        <w:tc>
          <w:tcPr>
            <w:shd w:val="clear" w:color="auto" w:fill="FEF3C7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TOTAL GENERAL DE INVERSIÓN FÍSICA</w:t>
            </w:r>
          </w:p>
        </w:tc>
        <w:tc>
          <w:tcPr>
            <w:shd w:val="clear" w:color="auto" w:fill="FEF3C7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Equipamiento completo optimizado de servidor, almacenamiento RAID, red y protección</w:t>
            </w:r>
          </w:p>
        </w:tc>
        <w:tc>
          <w:tcPr>
            <w:shd w:val="clear" w:color="auto" w:fill="FEF3C7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—</w:t>
            </w:r>
          </w:p>
        </w:tc>
        <w:tc>
          <w:tcPr>
            <w:shd w:val="clear" w:color="auto" w:fill="FEF3C7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—</w:t>
            </w:r>
          </w:p>
        </w:tc>
        <w:tc>
          <w:tcPr>
            <w:shd w:val="clear" w:color="auto" w:fill="FEF3C7"/>
          </w:tcPr>
          <w:p>
            <w:pPr>
              <w:spacing w:after="0"/>
              <w:jc w:val="right"/>
            </w:pPr>
            <w:r>
              <w:rPr>
                <w:b/>
                <w:sz w:val="18"/>
                <w:color w:val="0F172A"/>
              </w:rPr>
              <w:t>$900.00 USD</w:t>
            </w:r>
          </w:p>
        </w:tc>
      </w:tr>
    </w:tbl>
    <w:p>
      <w:pPr>
        <w:spacing w:after="100"/>
      </w:pPr>
    </w:p>
    <w:p>
      <w:pPr>
        <w:spacing w:before="260" w:after="100"/>
        <w:jc w:val="left"/>
      </w:pPr>
      <w:r>
        <w:rPr>
          <w:b/>
          <w:sz w:val="28"/>
          <w:color w:val="0F172A"/>
        </w:rPr>
        <w:t>CAPÍTULO IV: RESUMEN DE OPCIONES PARA DECISIÓN DEL COMANDO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Para otorgar claridad técnico-económica a la Dirección General de MIGATO, se contrastan las alternativas evaluadas:</w:t>
      </w:r>
    </w:p>
    <w:tbl>
      <w:tblPr>
        <w:tblW w:w="5000" w:type="pct"/>
        <w:tblBorders>
          <w:top w:val="single" w:sz="6" w:space="0" w:color="CBD5E1"/>
          <w:bottom w:val="single" w:sz="12" w:space="0" w:color="0F172A"/>
          <w:left w:val="none"/>
          <w:right w:val="none"/>
          <w:insideH w:val="single" w:sz="4" w:space="0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Opción Presupuestaria</w:t>
            </w:r>
          </w:p>
        </w:tc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Alcance y Componentes</w:t>
            </w:r>
          </w:p>
        </w:tc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Autonomía Eléctrica</w:t>
            </w:r>
          </w:p>
        </w:tc>
        <w:tc>
          <w:tcPr>
            <w:shd w:val="clear" w:color="auto" w:fill="0F172A"/>
          </w:tcPr>
          <w:p>
            <w:pPr>
              <w:spacing w:after="0"/>
              <w:jc w:val="left"/>
            </w:pPr>
            <w:r>
              <w:rPr>
                <w:b/>
                <w:sz w:val="19"/>
                <w:color w:val="FFFFFF"/>
              </w:rPr>
              <w:t>Inversión Total (USD)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Opción 1: Recomendada ★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Dell OptiPlex Core i7 (8va Gen 6C/12T), 32GB RAM + 2x SSD 1TB RAID 1 + MikroTik hEX + Switch 16p + Cat6 305m + UPS 1.500VA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45 a 60 minutos (Bajo consumo 65W)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$900.00 USD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Opción 2: Entrada Básica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Dell OptiPlex Core i5/i7 + 16GB RAM + 1x SSD 1TB (sin espejo) + Router estándar + Switch 8p + UPS 800VA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30 a 40 minutos</w:t>
            </w:r>
          </w:p>
        </w:tc>
        <w:tc>
          <w:tcPr>
            <w:shd w:val="clear" w:color="auto" w:fill="F8FAFC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$520.00 USD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b/>
                <w:sz w:val="18"/>
                <w:color w:val="0F172A"/>
              </w:rPr>
              <w:t>Opción 3: Servidor Tradicional (Descartada)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Servidor Dell PowerEdge antiguo (Doble Xeon 350W) + Discos Mecánicos SAS + Caddys + UPS 2.000VA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18"/>
                <w:color w:val="334155"/>
              </w:rPr>
              <w:t>20 a 30 minutos (Agotamiento rápido UPS)</w:t>
            </w:r>
          </w:p>
        </w:tc>
        <w:tc>
          <w:tcPr>
            <w:shd w:val="clear" w:color="auto" w:fill="FFFFFF"/>
          </w:tcPr>
          <w:p>
            <w:pPr>
              <w:spacing w:after="0"/>
              <w:jc w:val="right"/>
            </w:pPr>
            <w:r>
              <w:rPr>
                <w:sz w:val="18"/>
                <w:color w:val="334155"/>
              </w:rPr>
              <w:t>$2,480.00 USD</w:t>
            </w:r>
          </w:p>
        </w:tc>
      </w:tr>
    </w:tbl>
    <w:p>
      <w:pPr>
        <w:spacing w:after="100"/>
      </w:pPr>
    </w:p>
    <w:tbl>
      <w:tblPr>
        <w:tblW w:w="5000" w:type="pct"/>
        <w:tblBorders>
          <w:left w:val="single" w:sz="36" w:space="0" w:color="0284C7"/>
          <w:top w:val="none"/>
          <w:right w:val="none"/>
          <w:bottom w:val="none"/>
          <w:insideH w:val="none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0F9FF"/>
          </w:tcPr>
          <w:p>
            <w:pPr>
              <w:spacing w:after="40"/>
            </w:pPr>
            <w:r>
              <w:rPr>
                <w:b/>
                <w:sz w:val="18"/>
                <w:color w:val="0369A1"/>
              </w:rPr>
              <w:t>NOTA TÉCNICA ESTRATÉGICA</w:t>
            </w:r>
          </w:p>
          <w:p>
            <w:pPr>
              <w:spacing w:after="40"/>
            </w:pPr>
            <w:r>
              <w:rPr>
                <w:sz w:val="19"/>
                <w:color w:val="0F172A"/>
              </w:rPr>
              <w:t>DICTAMEN TÉCNICO: Se recomienda formalmente la APROBACIÓN DE LA OPCIÓN 1: ARQUITECTURA OPTIMIZADA ($900.00 USD). Proporciona la solución más rápida (100% SSD), tolerante a fallas (RAID 1), con conmutación de internet MikroTik, cableado estructurado completo de sala y máxima eficiencia energética (45 a 60 min de autonomía eléctrica ante apagones).</w:t>
            </w:r>
          </w:p>
        </w:tc>
      </w:tr>
    </w:tbl>
    <w:p>
      <w:pPr>
        <w:spacing w:after="80"/>
      </w:pPr>
    </w:p>
    <w:p>
      <w:pPr>
        <w:spacing w:before="260" w:after="100"/>
        <w:jc w:val="left"/>
      </w:pPr>
      <w:r>
        <w:rPr>
          <w:b/>
          <w:sz w:val="28"/>
          <w:color w:val="0F172A"/>
        </w:rPr>
        <w:t>CAPÍTULO V: CONFORMIDAD Y FIRMAS AUTORIZADAS</w:t>
      </w:r>
    </w:p>
    <w:p>
      <w:pPr>
        <w:jc w:val="both"/>
        <w:spacing w:after="120" w:line="300" w:lineRule="auto"/>
      </w:pPr>
      <w:r>
        <w:rPr>
          <w:sz w:val="22"/>
          <w:color w:val="1E293B"/>
        </w:rPr>
        <w:t>El presente dictamen técnico se emite en la ciudad de Maturín, Estado Monagas, a los efectos de su evaluación y aprobación formal por parte del Comando Estratégico:</w:t>
      </w:r>
    </w:p>
    <w:p>
      <w:pPr>
        <w:spacing w:before="300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r>
        <w:tc>
          <w:p>
            <w:pPr>
              <w:jc w:val="center"/>
              <w:spacing w:before="260" w:after="20"/>
            </w:pPr>
            <w:r>
              <w:t>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  <w:sz w:val="20"/>
                <w:color w:val="0F172A"/>
              </w:rPr>
              <w:t>COMANDO ESTRATÉGICO MIGATO</w:t>
            </w:r>
          </w:p>
          <w:p>
            <w:pPr>
              <w:jc w:val="center"/>
              <w:spacing w:after="20"/>
            </w:pPr>
            <w:r>
              <w:rPr>
                <w:color w:val="64748B"/>
                <w:sz w:val="17"/>
              </w:rPr>
              <w:t>Dirección de Operaciones • El Gato Briceño</w:t>
            </w:r>
          </w:p>
        </w:tc>
        <w:tc>
          <w:p>
            <w:pPr>
              <w:jc w:val="center"/>
              <w:spacing w:before="260" w:after="20"/>
            </w:pPr>
            <w:r>
              <w:t>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  <w:sz w:val="20"/>
                <w:color w:val="0F172A"/>
              </w:rPr>
              <w:t>ING. DIEGO DONADO</w:t>
            </w:r>
          </w:p>
          <w:p>
            <w:pPr>
              <w:jc w:val="center"/>
              <w:spacing w:after="20"/>
            </w:pPr>
            <w:r>
              <w:rPr>
                <w:color w:val="64748B"/>
                <w:sz w:val="17"/>
              </w:rPr>
              <w:t>Responsable de Ciencia y Tecnología MIGATO</w:t>
            </w:r>
          </w:p>
        </w:tc>
      </w:tr>
    </w:tbl>
    <w:sectPr>
      <w:headerReference w:type="first" r:id="rIdHeaderFirst"/>
      <w:headerReference w:type="default" r:id="rIdHeader1"/>
      <w:footerReference w:type="first" r:id="rIdFooterFirst"/>
      <w:footerReference w:type="default" r:id="rIdFooter1"/>
      <w:titlePg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sz="6" w:space="0" w:color="CBD5E1"/>
        <w:bottom w:val="none"/>
        <w:left w:val="none"/>
        <w:right w:val="none"/>
        <w:insideH w:val="none"/>
        <w:insideV w:val="none"/>
      </w:tblBorders>
    </w:tblPr>
    <w:tr>
      <w:tc>
        <w:p>
          <w:pPr>
            <w:jc w:val="left"/>
            <w:spacing w:before="60"/>
          </w:pPr>
          <w:r>
            <w:rPr>
              <w:sz w:val="15"/>
              <w:color w:val="94A3B8"/>
            </w:rPr>
            <w:t>MIGATO • Documento Técnico de Arquitectura Física y Presupuesto</w:t>
          </w:r>
        </w:p>
      </w:tc>
      <w:tc>
        <w:tcPr>
          <w:tcW w:w="1200" w:type="dxa"/>
        </w:tcPr>
        <w:p>
          <w:pPr>
            <w:jc w:val="right"/>
            <w:spacing w:before="60"/>
          </w:pPr>
          <w:r>
            <w:rPr>
              <w:b/>
              <w:sz w:val="15"/>
              <w:color w:val="64748B"/>
            </w:rPr>
            <w:t>Página </w:t>
          </w:r>
          <w:fldSimple w:instr="PAGE"/>
        </w:p>
      </w:tc>
    </w:tr>
  </w:tbl>
</w:ftr>
</file>

<file path=word/footer_first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tblBorders>
        <w:bottom w:val="single" w:sz="12" w:space="0" w:color="0284C7"/>
        <w:top w:val="none"/>
        <w:left w:val="none"/>
        <w:right w:val="none"/>
        <w:insideH w:val="none"/>
        <w:insideV w:val="none"/>
      </w:tblBorders>
    </w:tblPr>
    <w:tr>
      <w:tc>
        <w:p>
          <w:pPr>
            <w:jc w:val="left"/>
            <w:spacing w:after="60"/>
          </w:pPr>
          <w:r>
            <w:rPr>
              <w:b/>
              <w:sz w:val="16"/>
              <w:color w:val="0284C7"/>
            </w:rPr>
            <w:t>COMANDO ESTRATÉGICO MIGATO 2026 • SALA SITUACIONAL</w:t>
          </w:r>
          <w:r>
            <w:rPr>
              <w:sz w:val="15"/>
              <w:color w:val="64748B"/>
            </w:rPr>
            <w:t> | Dictamen de Hardware y Red</w:t>
          </w:r>
        </w:p>
      </w:tc>
      <w:tc>
        <w:tcPr>
          <w:tcW w:w="1200" w:type="dxa"/>
        </w:tcPr>
        <w:p>
          <w:pPr>
            <w:jc w:val="right"/>
            <w:spacing w:after="60"/>
          </w:pPr>
          <w:r>
            <w:rPr>
              <w:b/>
              <w:sz w:val="15"/>
              <w:color w:val="F59E0B"/>
            </w:rPr>
            <w:t>MONAGAS 2026</w:t>
          </w:r>
        </w:p>
      </w:tc>
    </w:tr>
  </w:tbl>
</w:hdr>
</file>

<file path=word/header_first.xml><?xml version="1.0" encoding="utf-8"?>
<w:hdr xmlns:w="http://schemas.openxmlformats.org/wordprocessingml/2006/main">
  <w:p/>
</w:hdr>
</file>

<file path=word/styles.xml><?xml version="1.0" encoding="utf-8"?>
<w:styles xmlns:w="http://schemas.openxmlformats.org/wordprocessingml/2006/main">
  <w:docDefaults>
    <w:rPrDefault>
      <w:rFonts w:ascii="Arial" w:hAnsi="Arial" w:cs="Arial"/>
      <w:sz w:val="22"/>
      <w:szCs w:val="22"/>
      <w:color w:val="1E293B"/>
    </w:rPrDefault>
    <w:pPrDefault>
      <w:spacing w:line="300" w:lineRule="auto" w:after="120"/>
      <w:jc w:val="both"/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eaderFirst" Type="http://schemas.openxmlformats.org/officeDocument/2006/relationships/header" Target="header_first.xml"/>
  <Relationship Id="rIdFooterFirst" Type="http://schemas.openxmlformats.org/officeDocument/2006/relationships/footer" Target="footer_first.xml"/>
  <Relationship Id="rIdLogoDoc" Type="http://schemas.openxmlformats.org/officeDocument/2006/relationships/image" Target="media/logo.png"/>
</Relationships>
</file>

<file path=word/_rels/header1.xml.rels><?xml version="1.0" encoding="UTF-8" standalone="yes"?>
<Relationships xmlns="http://schemas.openxmlformats.org/package/2006/relationships">
  <Relationship Id="rIdHeaderLogo" Type="http://schemas.openxmlformats.org/officeDocument/2006/relationships/image" Target="media/logo.png"/>
</Relationships>
</file>