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header_first.xml" ContentType="application/vnd.openxmlformats-officedocument.wordprocessingml.header+xml"/>
  <Override PartName="/word/footer_first.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120" w:after="40"/>
      </w:pPr>
      <w:r>
        <w:rPr>
          <w:b/>
          <w:sz w:val="24"/>
          <w:color w:val="0F172A"/>
        </w:rPr>
        <w:t>REPÚBLICA BOLIVARIANA DE VENEZUELA • ESTADO MONAGAS</w:t>
      </w:r>
    </w:p>
    <w:p>
      <w:pPr>
        <w:jc w:val="center"/>
        <w:spacing w:after="40"/>
      </w:pPr>
      <w:r>
        <w:rPr>
          <w:b/>
          <w:sz w:val="22"/>
          <w:color w:val="0284C7"/>
        </w:rPr>
        <w:t>MOVIMIENTO INDEPENDIENTE GANAMOS TODOS (MIGATO)</w:t>
      </w:r>
    </w:p>
    <w:p>
      <w:pPr>
        <w:jc w:val="center"/>
        <w:spacing w:after="160"/>
      </w:pPr>
      <w:r>
        <w:rPr>
          <w:b/>
          <w:sz w:val="20"/>
          <w:color w:val="F59E0B"/>
        </w:rPr>
        <w:t>COMANDO ESTRATÉGICO DE CAMPAÑA • SALA SITUACIONAL EL GATO BRICEÑO</w:t>
      </w:r>
    </w:p>
    <w:p>
      <w:pPr>
        <w:jc w:val="center"/>
        <w:spacing w:before="100" w:after="200"/>
      </w:pPr>
      <w:r>
        <w:rPr>
          <w:b/>
          <w:sz w:val="30"/>
          <w:color w:val="0F172A"/>
        </w:rPr>
        <w:t>DICTAMEN TÉCNICO Y PRESUPUESTO FORMAL: INFRAESTRUCTURA DE SERVIDOR FÍSICO, ALMACENAMIENTO RAID Y GATEWAY MIKROTIK</w:t>
      </w:r>
    </w:p>
    <w:tbl>
      <w:tblPr>
        <w:tblW w:w="5000" w:type="pct"/>
        <w:tblBorders>
          <w:top w:val="single" w:sz="6" w:space="0" w:color="CBD5E1"/>
          <w:bottom w:val="single" w:sz="12" w:space="0" w:color="0F172A"/>
          <w:left w:val="none"/>
          <w:right w:val="none"/>
          <w:insideH w:val="single" w:sz="4" w:space="0" w:color="E2E8F0"/>
          <w:insideV w:val="none"/>
        </w:tblBorders>
        <w:tblCellMar>
          <w:top w:w="100" w:type="dxa"/>
          <w:left w:w="140" w:type="dxa"/>
          <w:bottom w:w="100" w:type="dxa"/>
          <w:right w:w="140" w:type="dxa"/>
        </w:tblCellMar>
      </w:tblPr>
      <w:tr>
        <w:trPr>
          <w:tblHeader/>
        </w:trPr>
        <w:tc>
          <w:tcPr>
            <w:shd w:val="clear" w:color="auto" w:fill="0F172A"/>
          </w:tcPr>
          <w:p>
            <w:pPr>
              <w:spacing w:after="0"/>
              <w:jc w:val="left"/>
            </w:pPr>
            <w:r>
              <w:rPr>
                <w:b/>
                <w:sz w:val="19"/>
                <w:color w:val="FFFFFF"/>
              </w:rPr>
              <w:t>Campo Institucional</w:t>
            </w:r>
          </w:p>
        </w:tc>
        <w:tc>
          <w:tcPr>
            <w:shd w:val="clear" w:color="auto" w:fill="0F172A"/>
          </w:tcPr>
          <w:p>
            <w:pPr>
              <w:spacing w:after="0"/>
              <w:jc w:val="left"/>
            </w:pPr>
            <w:r>
              <w:rPr>
                <w:b/>
                <w:sz w:val="19"/>
                <w:color w:val="FFFFFF"/>
              </w:rPr>
              <w:t>Detalle Oficial</w:t>
            </w:r>
          </w:p>
        </w:tc>
      </w:tr>
      <w:tr>
        <w:tc>
          <w:tcPr>
            <w:shd w:val="clear" w:color="auto" w:fill="FFFFFF"/>
          </w:tcPr>
          <w:p>
            <w:pPr>
              <w:spacing w:after="0"/>
              <w:jc w:val="left"/>
            </w:pPr>
            <w:r>
              <w:rPr>
                <w:b/>
                <w:sz w:val="18"/>
                <w:color w:val="0F172A"/>
              </w:rPr>
              <w:t>Proyecto Tecnológico</w:t>
            </w:r>
          </w:p>
        </w:tc>
        <w:tc>
          <w:tcPr>
            <w:shd w:val="clear" w:color="auto" w:fill="FFFFFF"/>
          </w:tcPr>
          <w:p>
            <w:pPr>
              <w:spacing w:after="0"/>
              <w:jc w:val="left"/>
            </w:pPr>
            <w:r>
              <w:rPr>
                <w:sz w:val="18"/>
                <w:color w:val="334155"/>
              </w:rPr>
              <w:t>Plataforma Territorial y Sala Situacional de Mando MIGATO 2026</w:t>
            </w:r>
          </w:p>
        </w:tc>
      </w:tr>
      <w:tr>
        <w:tc>
          <w:tcPr>
            <w:shd w:val="clear" w:color="auto" w:fill="F8FAFC"/>
          </w:tcPr>
          <w:p>
            <w:pPr>
              <w:spacing w:after="0"/>
              <w:jc w:val="left"/>
            </w:pPr>
            <w:r>
              <w:rPr>
                <w:b/>
                <w:sz w:val="18"/>
                <w:color w:val="0F172A"/>
              </w:rPr>
              <w:t>Ámbito de Aplicación</w:t>
            </w:r>
          </w:p>
        </w:tc>
        <w:tc>
          <w:tcPr>
            <w:shd w:val="clear" w:color="auto" w:fill="F8FAFC"/>
          </w:tcPr>
          <w:p>
            <w:pPr>
              <w:spacing w:after="0"/>
              <w:jc w:val="left"/>
            </w:pPr>
            <w:r>
              <w:rPr>
                <w:sz w:val="18"/>
                <w:color w:val="334155"/>
              </w:rPr>
              <w:t>Estado Monagas (Maturín y 13 Municipios)</w:t>
            </w:r>
          </w:p>
        </w:tc>
      </w:tr>
      <w:tr>
        <w:tc>
          <w:tcPr>
            <w:shd w:val="clear" w:color="auto" w:fill="FFFFFF"/>
          </w:tcPr>
          <w:p>
            <w:pPr>
              <w:spacing w:after="0"/>
              <w:jc w:val="left"/>
            </w:pPr>
            <w:r>
              <w:rPr>
                <w:b/>
                <w:sz w:val="18"/>
                <w:color w:val="0F172A"/>
              </w:rPr>
              <w:t>Responsable Técnico</w:t>
            </w:r>
          </w:p>
        </w:tc>
        <w:tc>
          <w:tcPr>
            <w:shd w:val="clear" w:color="auto" w:fill="FFFFFF"/>
          </w:tcPr>
          <w:p>
            <w:pPr>
              <w:spacing w:after="0"/>
              <w:jc w:val="left"/>
            </w:pPr>
            <w:r>
              <w:rPr>
                <w:sz w:val="18"/>
                <w:color w:val="334155"/>
              </w:rPr>
              <w:t>Ing. Diego Donado • División de Ciencia, Tecnología y Ciberdefensa</w:t>
            </w:r>
          </w:p>
        </w:tc>
      </w:tr>
      <w:tr>
        <w:tc>
          <w:tcPr>
            <w:shd w:val="clear" w:color="auto" w:fill="F8FAFC"/>
          </w:tcPr>
          <w:p>
            <w:pPr>
              <w:spacing w:after="0"/>
              <w:jc w:val="left"/>
            </w:pPr>
            <w:r>
              <w:rPr>
                <w:b/>
                <w:sz w:val="18"/>
                <w:color w:val="0F172A"/>
              </w:rPr>
              <w:t>Destino del Equipamiento</w:t>
            </w:r>
          </w:p>
        </w:tc>
        <w:tc>
          <w:tcPr>
            <w:shd w:val="clear" w:color="auto" w:fill="F8FAFC"/>
          </w:tcPr>
          <w:p>
            <w:pPr>
              <w:spacing w:after="0"/>
              <w:jc w:val="left"/>
            </w:pPr>
            <w:r>
              <w:rPr>
                <w:sz w:val="18"/>
                <w:color w:val="334155"/>
              </w:rPr>
              <w:t>Sede Central de Campaña y Sala Situacional de El Gato Briceño</w:t>
            </w:r>
          </w:p>
        </w:tc>
      </w:tr>
      <w:tr>
        <w:tc>
          <w:tcPr>
            <w:shd w:val="clear" w:color="auto" w:fill="FFFFFF"/>
          </w:tcPr>
          <w:p>
            <w:pPr>
              <w:spacing w:after="0"/>
              <w:jc w:val="left"/>
            </w:pPr>
            <w:r>
              <w:rPr>
                <w:b/>
                <w:sz w:val="18"/>
                <w:color w:val="0F172A"/>
              </w:rPr>
              <w:t>Fuente de Cotizaciones</w:t>
            </w:r>
          </w:p>
        </w:tc>
        <w:tc>
          <w:tcPr>
            <w:shd w:val="clear" w:color="auto" w:fill="FFFFFF"/>
          </w:tcPr>
          <w:p>
            <w:pPr>
              <w:spacing w:after="0"/>
              <w:jc w:val="left"/>
            </w:pPr>
            <w:r>
              <w:rPr>
                <w:sz w:val="18"/>
                <w:color w:val="334155"/>
              </w:rPr>
              <w:t>Precios Referenciales del Mercado Nacional • Mercado Libre Venezuela</w:t>
            </w:r>
          </w:p>
        </w:tc>
      </w:tr>
      <w:tr>
        <w:tc>
          <w:tcPr>
            <w:shd w:val="clear" w:color="auto" w:fill="F8FAFC"/>
          </w:tcPr>
          <w:p>
            <w:pPr>
              <w:spacing w:after="0"/>
              <w:jc w:val="left"/>
            </w:pPr>
            <w:r>
              <w:rPr>
                <w:b/>
                <w:sz w:val="18"/>
                <w:color w:val="0F172A"/>
              </w:rPr>
              <w:t>Fecha de Emisión</w:t>
            </w:r>
          </w:p>
        </w:tc>
        <w:tc>
          <w:tcPr>
            <w:shd w:val="clear" w:color="auto" w:fill="F8FAFC"/>
          </w:tcPr>
          <w:p>
            <w:pPr>
              <w:spacing w:after="0"/>
              <w:jc w:val="left"/>
            </w:pPr>
            <w:r>
              <w:rPr>
                <w:sz w:val="18"/>
                <w:color w:val="334155"/>
              </w:rPr>
              <w:t>Septiembre 2026</w:t>
            </w:r>
          </w:p>
        </w:tc>
      </w:tr>
    </w:tbl>
    <w:p>
      <w:pPr>
        <w:spacing w:after="100"/>
      </w:pPr>
    </w:p>
    <w:p>
      <w:pPr>
        <w:spacing w:before="260" w:after="100"/>
        <w:jc w:val="left"/>
      </w:pPr>
      <w:r>
        <w:rPr>
          <w:b/>
          <w:sz w:val="28"/>
          <w:color w:val="0F172A"/>
        </w:rPr>
        <w:t>CAPÍTULO I: JUSTIFICACIÓN DE LA ARQUITECTURA DE HARDWARE</w:t>
      </w:r>
    </w:p>
    <w:p>
      <w:pPr>
        <w:jc w:val="both"/>
        <w:spacing w:after="120" w:line="300" w:lineRule="auto"/>
      </w:pPr>
      <w:r>
        <w:rPr>
          <w:sz w:val="22"/>
          <w:color w:val="1E293B"/>
        </w:rPr>
        <w:t>Para dar soporte físico autónomo a los cinco (5) módulos del sistema (Lámina 120", Comandos, Estimación del Voto, Earth Monagas 3D GIS y Dashboard de Campaña), se requiere un equipo de grado empresarial que opere de forma ininterrumpida. A diferencia de un computador convencional de escritorio, un servidor corporativo posee fuentes redundantes, ventilación balanceada para operación continua 24/7 y memoria con corrección de errores (ECC).</w:t>
      </w:r>
    </w:p>
    <w:p>
      <w:pPr>
        <w:spacing w:before="180" w:after="80"/>
        <w:jc w:val="left"/>
      </w:pPr>
      <w:r>
        <w:rPr>
          <w:b/>
          <w:sz w:val="24"/>
          <w:color w:val="0284C7"/>
        </w:rPr>
        <w:t>1.1. Arquitectura de Almacenamiento Híbrido Redundante (SSD + HDD en RAID 1)</w:t>
      </w:r>
    </w:p>
    <w:p>
      <w:pPr>
        <w:jc w:val="both"/>
        <w:spacing w:after="120" w:line="300" w:lineRule="auto"/>
      </w:pPr>
      <w:r>
        <w:rPr>
          <w:sz w:val="22"/>
          <w:color w:val="1E293B"/>
        </w:rPr>
        <w:t>El motor geoespacial de la plataforma procesa polígonos vectoriales con miles de coordenadas (incluyendo los 18 sectores comunitarios de La Puente y la segmentación de Maturín). Para evitar cuellos de botella y garantizar la supervivencia de los datos, se implementa una topología híbrida:</w:t>
      </w:r>
    </w:p>
    <w:p>
      <w:pPr>
        <w:jc w:val="both"/>
        <w:spacing w:after="120" w:line="300" w:lineRule="auto"/>
      </w:pPr>
      <w:r>
        <w:rPr>
          <w:sz w:val="22"/>
          <w:color w:val="1E293B"/>
        </w:rPr>
        <w:t>• Banco de Estado Sólido (2x SSD 1TB en RAID 1 - Espejo): Destinado al Sistema Operativo Linux Ubuntu Server 24.04, motor PostgreSQL con extensión PostGIS, Nginx y caché Redis. Su velocidad de lectura/escritura superior a 500 MB/s permite que las consultas cartográficas y de votantes respondan en milisegundos.</w:t>
      </w:r>
    </w:p>
    <w:p>
      <w:pPr>
        <w:jc w:val="both"/>
        <w:spacing w:after="120" w:line="300" w:lineRule="auto"/>
      </w:pPr>
      <w:r>
        <w:rPr>
          <w:sz w:val="22"/>
          <w:color w:val="1E293B"/>
        </w:rPr>
        <w:t>• Banco Mecánico Empresarial (2x HDD 2TB SAS/SATA en RAID 1 - Espejo): Destinado al almacenamiento masivo de respaldos automáticos diarios, digitalización de actas de escrutinio CNE y logs históricos de auditoría.</w:t>
      </w:r>
    </w:p>
    <w:p>
      <w:pPr>
        <w:jc w:val="both"/>
        <w:spacing w:after="120" w:line="300" w:lineRule="auto"/>
      </w:pPr>
      <w:r>
        <w:rPr>
          <w:sz w:val="22"/>
          <w:color w:val="1E293B"/>
        </w:rPr>
        <w:t>• Tolerancia a Fallas en Espejo: Cada archivo se escribe simultáneamente en dos unidades físicas. Si un disco sufre una avería, la controladora PERC mantiene la plataforma encendida con el disco gemelo sin pérdida de datos ni interrupción.</w:t>
      </w:r>
    </w:p>
    <w:p>
      <w:pPr>
        <w:spacing w:before="260" w:after="100"/>
        <w:jc w:val="left"/>
      </w:pPr>
      <w:r>
        <w:rPr>
          <w:b/>
          <w:sz w:val="28"/>
          <w:color w:val="0F172A"/>
        </w:rPr>
        <w:t>CAPÍTULO II: INTEGRACIÓN DEL GATEWAY Y FIREWALL MIKROTIK</w:t>
      </w:r>
    </w:p>
    <w:p>
      <w:pPr>
        <w:jc w:val="both"/>
        <w:spacing w:after="120" w:line="300" w:lineRule="auto"/>
      </w:pPr>
      <w:r>
        <w:rPr>
          <w:sz w:val="22"/>
          <w:color w:val="1E293B"/>
        </w:rPr>
        <w:t>Para asegurar la puerta de enlace a internet de la Sala Situacional y proteger el servidor físico contra intrusiones o ataques de red, se incorpora un routerboard especializado MikroTik hEX (RB750Gr3), aprovechando el dominio técnico y capacidad de administración del equipo técnico de sistemas:</w:t>
      </w:r>
    </w:p>
    <w:p>
      <w:pPr>
        <w:jc w:val="both"/>
        <w:spacing w:after="120" w:line="300" w:lineRule="auto"/>
      </w:pPr>
      <w:r>
        <w:rPr>
          <w:b/>
          <w:sz w:val="22"/>
          <w:color w:val="1E293B"/>
        </w:rPr>
        <w:t>• SEGURIDAD Y FIREWALL SPI: </w:t>
      </w:r>
      <w:r>
        <w:rPr>
          <w:sz w:val="22"/>
          <w:color w:val="1E293B"/>
        </w:rPr>
        <w:t>El MikroTik actúa como barrera perimetral blindada, cerrando puertos innecesarios e implementando reglas de inspección profunda de paquetes (Stateful Firewall) para que nadie en la red local o externa pueda vulnerar la base de datos PostgreSQL.</w:t>
      </w:r>
    </w:p>
    <w:p>
      <w:pPr>
        <w:jc w:val="both"/>
        <w:spacing w:after="120" w:line="300" w:lineRule="auto"/>
      </w:pPr>
      <w:r>
        <w:rPr>
          <w:b/>
          <w:sz w:val="22"/>
          <w:color w:val="1E293B"/>
        </w:rPr>
        <w:t>• CONMUTACIÓN AUTOMÁTICA (FAILOVER): </w:t>
      </w:r>
      <w:r>
        <w:rPr>
          <w:sz w:val="22"/>
          <w:color w:val="1E293B"/>
        </w:rPr>
        <w:t>Permite conectar simultáneamente dos proveedores de internet (ej. WAN 1: Fibra Principal CANTV/Inter/NetUno y WAN 2: Enlace de Respaldo Starlink o Módem LTE). En caso de corte en la fibra óptica, el MikroTik conmuta el tráfico en menos de 1 segundo sin interrumpir el funcionamiento del servidor.</w:t>
      </w:r>
    </w:p>
    <w:p>
      <w:pPr>
        <w:jc w:val="both"/>
        <w:spacing w:after="120" w:line="300" w:lineRule="auto"/>
      </w:pPr>
      <w:r>
        <w:rPr>
          <w:b/>
          <w:sz w:val="22"/>
          <w:color w:val="1E293B"/>
        </w:rPr>
        <w:t>• SERVIDOR VPN SEGURO (WIREGUARD): </w:t>
      </w:r>
      <w:r>
        <w:rPr>
          <w:sz w:val="22"/>
          <w:color w:val="1E293B"/>
        </w:rPr>
        <w:t>Permite al Ingeniero Responsable y a los directivos del Comando conectarse de forma remota y cifrada al servidor desde laptops o dispositivos móviles fuera de la sede, sin exponer la plataforma a los riesgos de la internet pública.</w:t>
      </w:r>
    </w:p>
    <w:p>
      <w:pPr>
        <w:spacing w:before="260" w:after="100"/>
        <w:jc w:val="left"/>
      </w:pPr>
      <w:r>
        <w:rPr>
          <w:b/>
          <w:sz w:val="28"/>
          <w:color w:val="0F172A"/>
        </w:rPr>
        <w:t>CAPÍTULO III: DESGLOSE DE COSTOS EN MERCADO LIBRE VENEZUELA</w:t>
      </w:r>
    </w:p>
    <w:p>
      <w:pPr>
        <w:jc w:val="both"/>
        <w:spacing w:after="120" w:line="300" w:lineRule="auto"/>
      </w:pPr>
      <w:r>
        <w:rPr>
          <w:sz w:val="22"/>
          <w:color w:val="1E293B"/>
        </w:rPr>
        <w:t>A continuación se detallan los costos individuales de cada componente físico investigados en el mercado venezolano (expresados en dólares estadounidenses USD, pagaderos a la tasa oficial BCV):</w:t>
      </w:r>
    </w:p>
    <w:tbl>
      <w:tblPr>
        <w:tblW w:w="5000" w:type="pct"/>
        <w:tblBorders>
          <w:top w:val="single" w:sz="6" w:space="0" w:color="CBD5E1"/>
          <w:bottom w:val="single" w:sz="12" w:space="0" w:color="0F172A"/>
          <w:left w:val="none"/>
          <w:right w:val="none"/>
          <w:insideH w:val="single" w:sz="4" w:space="0" w:color="E2E8F0"/>
          <w:insideV w:val="none"/>
        </w:tblBorders>
        <w:tblCellMar>
          <w:top w:w="100" w:type="dxa"/>
          <w:left w:w="140" w:type="dxa"/>
          <w:bottom w:w="100" w:type="dxa"/>
          <w:right w:w="140" w:type="dxa"/>
        </w:tblCellMar>
      </w:tblPr>
      <w:tr>
        <w:trPr>
          <w:tblHeader/>
        </w:trPr>
        <w:tc>
          <w:tcPr>
            <w:shd w:val="clear" w:color="auto" w:fill="0F172A"/>
          </w:tcPr>
          <w:p>
            <w:pPr>
              <w:spacing w:after="0"/>
              <w:jc w:val="left"/>
            </w:pPr>
            <w:r>
              <w:rPr>
                <w:b/>
                <w:sz w:val="19"/>
                <w:color w:val="FFFFFF"/>
              </w:rPr>
              <w:t>Componente / Dispositivo</w:t>
            </w:r>
          </w:p>
        </w:tc>
        <w:tc>
          <w:tcPr>
            <w:shd w:val="clear" w:color="auto" w:fill="0F172A"/>
          </w:tcPr>
          <w:p>
            <w:pPr>
              <w:spacing w:after="0"/>
              <w:jc w:val="left"/>
            </w:pPr>
            <w:r>
              <w:rPr>
                <w:b/>
                <w:sz w:val="19"/>
                <w:color w:val="FFFFFF"/>
              </w:rPr>
              <w:t>Especificación Técnica</w:t>
            </w:r>
          </w:p>
        </w:tc>
        <w:tc>
          <w:tcPr>
            <w:shd w:val="clear" w:color="auto" w:fill="0F172A"/>
          </w:tcPr>
          <w:p>
            <w:pPr>
              <w:spacing w:after="0"/>
              <w:jc w:val="left"/>
            </w:pPr>
            <w:r>
              <w:rPr>
                <w:b/>
                <w:sz w:val="19"/>
                <w:color w:val="FFFFFF"/>
              </w:rPr>
              <w:t>Cant.</w:t>
            </w:r>
          </w:p>
        </w:tc>
        <w:tc>
          <w:tcPr>
            <w:shd w:val="clear" w:color="auto" w:fill="0F172A"/>
          </w:tcPr>
          <w:p>
            <w:pPr>
              <w:spacing w:after="0"/>
              <w:jc w:val="left"/>
            </w:pPr>
            <w:r>
              <w:rPr>
                <w:b/>
                <w:sz w:val="19"/>
                <w:color w:val="FFFFFF"/>
              </w:rPr>
              <w:t>Costo Unit. (USD)</w:t>
            </w:r>
          </w:p>
        </w:tc>
        <w:tc>
          <w:tcPr>
            <w:shd w:val="clear" w:color="auto" w:fill="0F172A"/>
          </w:tcPr>
          <w:p>
            <w:pPr>
              <w:spacing w:after="0"/>
              <w:jc w:val="left"/>
            </w:pPr>
            <w:r>
              <w:rPr>
                <w:b/>
                <w:sz w:val="19"/>
                <w:color w:val="FFFFFF"/>
              </w:rPr>
              <w:t>Total (USD)</w:t>
            </w:r>
          </w:p>
        </w:tc>
      </w:tr>
      <w:tr>
        <w:tc>
          <w:tcPr>
            <w:shd w:val="clear" w:color="auto" w:fill="FFFFFF"/>
          </w:tcPr>
          <w:p>
            <w:pPr>
              <w:spacing w:after="0"/>
              <w:jc w:val="left"/>
            </w:pPr>
            <w:r>
              <w:rPr>
                <w:b/>
                <w:sz w:val="18"/>
                <w:color w:val="0F172A"/>
              </w:rPr>
              <w:t>Servidor Torre Dell PowerEdge</w:t>
            </w:r>
          </w:p>
        </w:tc>
        <w:tc>
          <w:tcPr>
            <w:shd w:val="clear" w:color="auto" w:fill="FFFFFF"/>
          </w:tcPr>
          <w:p>
            <w:pPr>
              <w:spacing w:after="0"/>
              <w:jc w:val="left"/>
            </w:pPr>
            <w:r>
              <w:rPr>
                <w:sz w:val="18"/>
                <w:color w:val="334155"/>
              </w:rPr>
              <w:t>Modelo T330/T430 (Xeon 8 Cores, 64GB RAM ECC, 2 Fuentes Hot-Plug, Controladora PERC)</w:t>
            </w:r>
          </w:p>
        </w:tc>
        <w:tc>
          <w:tcPr>
            <w:shd w:val="clear" w:color="auto" w:fill="FFFFFF"/>
          </w:tcPr>
          <w:p>
            <w:pPr>
              <w:spacing w:after="0"/>
              <w:jc w:val="left"/>
            </w:pPr>
            <w:r>
              <w:rPr>
                <w:sz w:val="18"/>
                <w:color w:val="334155"/>
              </w:rPr>
              <w:t>1</w:t>
            </w:r>
          </w:p>
        </w:tc>
        <w:tc>
          <w:tcPr>
            <w:shd w:val="clear" w:color="auto" w:fill="FFFFFF"/>
          </w:tcPr>
          <w:p>
            <w:pPr>
              <w:spacing w:after="0"/>
              <w:jc w:val="right"/>
            </w:pPr>
            <w:r>
              <w:rPr>
                <w:sz w:val="18"/>
                <w:color w:val="334155"/>
              </w:rPr>
              <w:t>$1,200.00</w:t>
            </w:r>
          </w:p>
        </w:tc>
        <w:tc>
          <w:tcPr>
            <w:shd w:val="clear" w:color="auto" w:fill="FFFFFF"/>
          </w:tcPr>
          <w:p>
            <w:pPr>
              <w:spacing w:after="0"/>
              <w:jc w:val="right"/>
            </w:pPr>
            <w:r>
              <w:rPr>
                <w:sz w:val="18"/>
                <w:color w:val="334155"/>
              </w:rPr>
              <w:t>$1,200.00</w:t>
            </w:r>
          </w:p>
        </w:tc>
      </w:tr>
      <w:tr>
        <w:tc>
          <w:tcPr>
            <w:shd w:val="clear" w:color="auto" w:fill="F8FAFC"/>
          </w:tcPr>
          <w:p>
            <w:pPr>
              <w:spacing w:after="0"/>
              <w:jc w:val="left"/>
            </w:pPr>
            <w:r>
              <w:rPr>
                <w:b/>
                <w:sz w:val="18"/>
                <w:color w:val="0F172A"/>
              </w:rPr>
              <w:t>Discos Sólidos SSD 1TB (RAID 1)</w:t>
            </w:r>
          </w:p>
        </w:tc>
        <w:tc>
          <w:tcPr>
            <w:shd w:val="clear" w:color="auto" w:fill="F8FAFC"/>
          </w:tcPr>
          <w:p>
            <w:pPr>
              <w:spacing w:after="0"/>
              <w:jc w:val="left"/>
            </w:pPr>
            <w:r>
              <w:rPr>
                <w:sz w:val="18"/>
                <w:color w:val="334155"/>
              </w:rPr>
              <w:t>Kingston KC600 / Crucial MX500 / Samsung 870 EVO SATA 2.5" (Sistema &amp; BD)</w:t>
            </w:r>
          </w:p>
        </w:tc>
        <w:tc>
          <w:tcPr>
            <w:shd w:val="clear" w:color="auto" w:fill="F8FAFC"/>
          </w:tcPr>
          <w:p>
            <w:pPr>
              <w:spacing w:after="0"/>
              <w:jc w:val="left"/>
            </w:pPr>
            <w:r>
              <w:rPr>
                <w:sz w:val="18"/>
                <w:color w:val="334155"/>
              </w:rPr>
              <w:t>2</w:t>
            </w:r>
          </w:p>
        </w:tc>
        <w:tc>
          <w:tcPr>
            <w:shd w:val="clear" w:color="auto" w:fill="F8FAFC"/>
          </w:tcPr>
          <w:p>
            <w:pPr>
              <w:spacing w:after="0"/>
              <w:jc w:val="right"/>
            </w:pPr>
            <w:r>
              <w:rPr>
                <w:sz w:val="18"/>
                <w:color w:val="334155"/>
              </w:rPr>
              <w:t>$140.00</w:t>
            </w:r>
          </w:p>
        </w:tc>
        <w:tc>
          <w:tcPr>
            <w:shd w:val="clear" w:color="auto" w:fill="F8FAFC"/>
          </w:tcPr>
          <w:p>
            <w:pPr>
              <w:spacing w:after="0"/>
              <w:jc w:val="right"/>
            </w:pPr>
            <w:r>
              <w:rPr>
                <w:sz w:val="18"/>
                <w:color w:val="334155"/>
              </w:rPr>
              <w:t>$280.00</w:t>
            </w:r>
          </w:p>
        </w:tc>
      </w:tr>
      <w:tr>
        <w:tc>
          <w:tcPr>
            <w:shd w:val="clear" w:color="auto" w:fill="FFFFFF"/>
          </w:tcPr>
          <w:p>
            <w:pPr>
              <w:spacing w:after="0"/>
              <w:jc w:val="left"/>
            </w:pPr>
            <w:r>
              <w:rPr>
                <w:b/>
                <w:sz w:val="18"/>
                <w:color w:val="0F172A"/>
              </w:rPr>
              <w:t>Discos Duros HDD 2TB (RAID 1)</w:t>
            </w:r>
          </w:p>
        </w:tc>
        <w:tc>
          <w:tcPr>
            <w:shd w:val="clear" w:color="auto" w:fill="FFFFFF"/>
          </w:tcPr>
          <w:p>
            <w:pPr>
              <w:spacing w:after="0"/>
              <w:jc w:val="left"/>
            </w:pPr>
            <w:r>
              <w:rPr>
                <w:sz w:val="18"/>
                <w:color w:val="334155"/>
              </w:rPr>
              <w:t>Dell Constellation / WD Red Plus Enterprise 7.200 RPM SAS/SATA (Backups &amp; Actas)</w:t>
            </w:r>
          </w:p>
        </w:tc>
        <w:tc>
          <w:tcPr>
            <w:shd w:val="clear" w:color="auto" w:fill="FFFFFF"/>
          </w:tcPr>
          <w:p>
            <w:pPr>
              <w:spacing w:after="0"/>
              <w:jc w:val="left"/>
            </w:pPr>
            <w:r>
              <w:rPr>
                <w:sz w:val="18"/>
                <w:color w:val="334155"/>
              </w:rPr>
              <w:t>2</w:t>
            </w:r>
          </w:p>
        </w:tc>
        <w:tc>
          <w:tcPr>
            <w:shd w:val="clear" w:color="auto" w:fill="FFFFFF"/>
          </w:tcPr>
          <w:p>
            <w:pPr>
              <w:spacing w:after="0"/>
              <w:jc w:val="right"/>
            </w:pPr>
            <w:r>
              <w:rPr>
                <w:sz w:val="18"/>
                <w:color w:val="334155"/>
              </w:rPr>
              <w:t>$190.00</w:t>
            </w:r>
          </w:p>
        </w:tc>
        <w:tc>
          <w:tcPr>
            <w:shd w:val="clear" w:color="auto" w:fill="FFFFFF"/>
          </w:tcPr>
          <w:p>
            <w:pPr>
              <w:spacing w:after="0"/>
              <w:jc w:val="right"/>
            </w:pPr>
            <w:r>
              <w:rPr>
                <w:sz w:val="18"/>
                <w:color w:val="334155"/>
              </w:rPr>
              <w:t>$380.00</w:t>
            </w:r>
          </w:p>
        </w:tc>
      </w:tr>
      <w:tr>
        <w:tc>
          <w:tcPr>
            <w:shd w:val="clear" w:color="auto" w:fill="F8FAFC"/>
          </w:tcPr>
          <w:p>
            <w:pPr>
              <w:spacing w:after="0"/>
              <w:jc w:val="left"/>
            </w:pPr>
            <w:r>
              <w:rPr>
                <w:b/>
                <w:sz w:val="18"/>
                <w:color w:val="0F172A"/>
              </w:rPr>
              <w:t>Bandejas Caddys Dell</w:t>
            </w:r>
          </w:p>
        </w:tc>
        <w:tc>
          <w:tcPr>
            <w:shd w:val="clear" w:color="auto" w:fill="F8FAFC"/>
          </w:tcPr>
          <w:p>
            <w:pPr>
              <w:spacing w:after="0"/>
              <w:jc w:val="left"/>
            </w:pPr>
            <w:r>
              <w:rPr>
                <w:sz w:val="18"/>
                <w:color w:val="334155"/>
              </w:rPr>
              <w:t>Bandejas originales con seguro Hot-Plug para bahías de 3.5"/2.5"</w:t>
            </w:r>
          </w:p>
        </w:tc>
        <w:tc>
          <w:tcPr>
            <w:shd w:val="clear" w:color="auto" w:fill="F8FAFC"/>
          </w:tcPr>
          <w:p>
            <w:pPr>
              <w:spacing w:after="0"/>
              <w:jc w:val="left"/>
            </w:pPr>
            <w:r>
              <w:rPr>
                <w:sz w:val="18"/>
                <w:color w:val="334155"/>
              </w:rPr>
              <w:t>4</w:t>
            </w:r>
          </w:p>
        </w:tc>
        <w:tc>
          <w:tcPr>
            <w:shd w:val="clear" w:color="auto" w:fill="F8FAFC"/>
          </w:tcPr>
          <w:p>
            <w:pPr>
              <w:spacing w:after="0"/>
              <w:jc w:val="right"/>
            </w:pPr>
            <w:r>
              <w:rPr>
                <w:sz w:val="18"/>
                <w:color w:val="334155"/>
              </w:rPr>
              <w:t>$22.50</w:t>
            </w:r>
          </w:p>
        </w:tc>
        <w:tc>
          <w:tcPr>
            <w:shd w:val="clear" w:color="auto" w:fill="F8FAFC"/>
          </w:tcPr>
          <w:p>
            <w:pPr>
              <w:spacing w:after="0"/>
              <w:jc w:val="right"/>
            </w:pPr>
            <w:r>
              <w:rPr>
                <w:sz w:val="18"/>
                <w:color w:val="334155"/>
              </w:rPr>
              <w:t>$90.00</w:t>
            </w:r>
          </w:p>
        </w:tc>
      </w:tr>
      <w:tr>
        <w:tc>
          <w:tcPr>
            <w:shd w:val="clear" w:color="auto" w:fill="FFFFFF"/>
          </w:tcPr>
          <w:p>
            <w:pPr>
              <w:spacing w:after="0"/>
              <w:jc w:val="left"/>
            </w:pPr>
            <w:r>
              <w:rPr>
                <w:b/>
                <w:sz w:val="18"/>
                <w:color w:val="0F172A"/>
              </w:rPr>
              <w:t>Gateway MikroTik RouterBOARD</w:t>
            </w:r>
          </w:p>
        </w:tc>
        <w:tc>
          <w:tcPr>
            <w:shd w:val="clear" w:color="auto" w:fill="FFFFFF"/>
          </w:tcPr>
          <w:p>
            <w:pPr>
              <w:spacing w:after="0"/>
              <w:jc w:val="left"/>
            </w:pPr>
            <w:r>
              <w:rPr>
                <w:sz w:val="18"/>
                <w:color w:val="334155"/>
              </w:rPr>
              <w:t>MikroTik hEX RB750Gr3 (Dual Core 880MHz, 256MB RAM, 5 Puertos Gigabit, RouterOS)</w:t>
            </w:r>
          </w:p>
        </w:tc>
        <w:tc>
          <w:tcPr>
            <w:shd w:val="clear" w:color="auto" w:fill="FFFFFF"/>
          </w:tcPr>
          <w:p>
            <w:pPr>
              <w:spacing w:after="0"/>
              <w:jc w:val="left"/>
            </w:pPr>
            <w:r>
              <w:rPr>
                <w:sz w:val="18"/>
                <w:color w:val="334155"/>
              </w:rPr>
              <w:t>1</w:t>
            </w:r>
          </w:p>
        </w:tc>
        <w:tc>
          <w:tcPr>
            <w:shd w:val="clear" w:color="auto" w:fill="FFFFFF"/>
          </w:tcPr>
          <w:p>
            <w:pPr>
              <w:spacing w:after="0"/>
              <w:jc w:val="right"/>
            </w:pPr>
            <w:r>
              <w:rPr>
                <w:sz w:val="18"/>
                <w:color w:val="334155"/>
              </w:rPr>
              <w:t>$105.00</w:t>
            </w:r>
          </w:p>
        </w:tc>
        <w:tc>
          <w:tcPr>
            <w:shd w:val="clear" w:color="auto" w:fill="FFFFFF"/>
          </w:tcPr>
          <w:p>
            <w:pPr>
              <w:spacing w:after="0"/>
              <w:jc w:val="right"/>
            </w:pPr>
            <w:r>
              <w:rPr>
                <w:sz w:val="18"/>
                <w:color w:val="334155"/>
              </w:rPr>
              <w:t>$105.00</w:t>
            </w:r>
          </w:p>
        </w:tc>
      </w:tr>
      <w:tr>
        <w:tc>
          <w:tcPr>
            <w:shd w:val="clear" w:color="auto" w:fill="F8FAFC"/>
          </w:tcPr>
          <w:p>
            <w:pPr>
              <w:spacing w:after="0"/>
              <w:jc w:val="left"/>
            </w:pPr>
            <w:r>
              <w:rPr>
                <w:b/>
                <w:sz w:val="18"/>
                <w:color w:val="0F172A"/>
              </w:rPr>
              <w:t>UPS de Respaldo Eléctrico</w:t>
            </w:r>
          </w:p>
        </w:tc>
        <w:tc>
          <w:tcPr>
            <w:shd w:val="clear" w:color="auto" w:fill="F8FAFC"/>
          </w:tcPr>
          <w:p>
            <w:pPr>
              <w:spacing w:after="0"/>
              <w:jc w:val="left"/>
            </w:pPr>
            <w:r>
              <w:rPr>
                <w:sz w:val="18"/>
                <w:color w:val="334155"/>
              </w:rPr>
              <w:t>UPS 2.000 VA Interactivo con supresor de picos industrial (30 a 45 min autonomía)</w:t>
            </w:r>
          </w:p>
        </w:tc>
        <w:tc>
          <w:tcPr>
            <w:shd w:val="clear" w:color="auto" w:fill="F8FAFC"/>
          </w:tcPr>
          <w:p>
            <w:pPr>
              <w:spacing w:after="0"/>
              <w:jc w:val="left"/>
            </w:pPr>
            <w:r>
              <w:rPr>
                <w:sz w:val="18"/>
                <w:color w:val="334155"/>
              </w:rPr>
              <w:t>1</w:t>
            </w:r>
          </w:p>
        </w:tc>
        <w:tc>
          <w:tcPr>
            <w:shd w:val="clear" w:color="auto" w:fill="F8FAFC"/>
          </w:tcPr>
          <w:p>
            <w:pPr>
              <w:spacing w:after="0"/>
              <w:jc w:val="right"/>
            </w:pPr>
            <w:r>
              <w:rPr>
                <w:sz w:val="18"/>
                <w:color w:val="334155"/>
              </w:rPr>
              <w:t>$320.00</w:t>
            </w:r>
          </w:p>
        </w:tc>
        <w:tc>
          <w:tcPr>
            <w:shd w:val="clear" w:color="auto" w:fill="F8FAFC"/>
          </w:tcPr>
          <w:p>
            <w:pPr>
              <w:spacing w:after="0"/>
              <w:jc w:val="right"/>
            </w:pPr>
            <w:r>
              <w:rPr>
                <w:sz w:val="18"/>
                <w:color w:val="334155"/>
              </w:rPr>
              <w:t>$320.00</w:t>
            </w:r>
          </w:p>
        </w:tc>
      </w:tr>
      <w:tr>
        <w:tc>
          <w:tcPr>
            <w:shd w:val="clear" w:color="auto" w:fill="FFFFFF"/>
          </w:tcPr>
          <w:p>
            <w:pPr>
              <w:spacing w:after="0"/>
              <w:jc w:val="left"/>
            </w:pPr>
            <w:r>
              <w:rPr>
                <w:b/>
                <w:sz w:val="18"/>
                <w:color w:val="0F172A"/>
              </w:rPr>
              <w:t>Switch de Distribución de Sala</w:t>
            </w:r>
          </w:p>
        </w:tc>
        <w:tc>
          <w:tcPr>
            <w:shd w:val="clear" w:color="auto" w:fill="FFFFFF"/>
          </w:tcPr>
          <w:p>
            <w:pPr>
              <w:spacing w:after="0"/>
              <w:jc w:val="left"/>
            </w:pPr>
            <w:r>
              <w:rPr>
                <w:sz w:val="18"/>
                <w:color w:val="334155"/>
              </w:rPr>
              <w:t>Switch Gigabit 16 Puertos 10/100/1000 Mbps TP-Link / D-Link metálico</w:t>
            </w:r>
          </w:p>
        </w:tc>
        <w:tc>
          <w:tcPr>
            <w:shd w:val="clear" w:color="auto" w:fill="FFFFFF"/>
          </w:tcPr>
          <w:p>
            <w:pPr>
              <w:spacing w:after="0"/>
              <w:jc w:val="left"/>
            </w:pPr>
            <w:r>
              <w:rPr>
                <w:sz w:val="18"/>
                <w:color w:val="334155"/>
              </w:rPr>
              <w:t>1</w:t>
            </w:r>
          </w:p>
        </w:tc>
        <w:tc>
          <w:tcPr>
            <w:shd w:val="clear" w:color="auto" w:fill="FFFFFF"/>
          </w:tcPr>
          <w:p>
            <w:pPr>
              <w:spacing w:after="0"/>
              <w:jc w:val="right"/>
            </w:pPr>
            <w:r>
              <w:rPr>
                <w:sz w:val="18"/>
                <w:color w:val="334155"/>
              </w:rPr>
              <w:t>$65.00</w:t>
            </w:r>
          </w:p>
        </w:tc>
        <w:tc>
          <w:tcPr>
            <w:shd w:val="clear" w:color="auto" w:fill="FFFFFF"/>
          </w:tcPr>
          <w:p>
            <w:pPr>
              <w:spacing w:after="0"/>
              <w:jc w:val="right"/>
            </w:pPr>
            <w:r>
              <w:rPr>
                <w:sz w:val="18"/>
                <w:color w:val="334155"/>
              </w:rPr>
              <w:t>$65.00</w:t>
            </w:r>
          </w:p>
        </w:tc>
      </w:tr>
      <w:tr>
        <w:tc>
          <w:tcPr>
            <w:shd w:val="clear" w:color="auto" w:fill="F8FAFC"/>
          </w:tcPr>
          <w:p>
            <w:pPr>
              <w:spacing w:after="0"/>
              <w:jc w:val="left"/>
            </w:pPr>
            <w:r>
              <w:rPr>
                <w:b/>
                <w:sz w:val="18"/>
                <w:color w:val="0F172A"/>
              </w:rPr>
              <w:t>Cableado y Accesorios</w:t>
            </w:r>
          </w:p>
        </w:tc>
        <w:tc>
          <w:tcPr>
            <w:shd w:val="clear" w:color="auto" w:fill="F8FAFC"/>
          </w:tcPr>
          <w:p>
            <w:pPr>
              <w:spacing w:after="0"/>
              <w:jc w:val="right"/>
            </w:pPr>
            <w:r>
              <w:rPr>
                <w:sz w:val="18"/>
                <w:color w:val="334155"/>
              </w:rPr>
              <w:t>Bobina/Patch Cords Cat6 100% Cobre blindado + regleta industrial</w:t>
            </w:r>
          </w:p>
        </w:tc>
        <w:tc>
          <w:tcPr>
            <w:shd w:val="clear" w:color="auto" w:fill="F8FAFC"/>
          </w:tcPr>
          <w:p>
            <w:pPr>
              <w:spacing w:after="0"/>
              <w:jc w:val="left"/>
            </w:pPr>
            <w:r>
              <w:rPr>
                <w:sz w:val="18"/>
                <w:color w:val="334155"/>
              </w:rPr>
              <w:t>1</w:t>
            </w:r>
          </w:p>
        </w:tc>
        <w:tc>
          <w:tcPr>
            <w:shd w:val="clear" w:color="auto" w:fill="F8FAFC"/>
          </w:tcPr>
          <w:p>
            <w:pPr>
              <w:spacing w:after="0"/>
              <w:jc w:val="right"/>
            </w:pPr>
            <w:r>
              <w:rPr>
                <w:sz w:val="18"/>
                <w:color w:val="334155"/>
              </w:rPr>
              <w:t>$40.00</w:t>
            </w:r>
          </w:p>
        </w:tc>
        <w:tc>
          <w:tcPr>
            <w:shd w:val="clear" w:color="auto" w:fill="F8FAFC"/>
          </w:tcPr>
          <w:p>
            <w:pPr>
              <w:spacing w:after="0"/>
              <w:jc w:val="right"/>
            </w:pPr>
            <w:r>
              <w:rPr>
                <w:sz w:val="18"/>
                <w:color w:val="334155"/>
              </w:rPr>
              <w:t>$40.00</w:t>
            </w:r>
          </w:p>
        </w:tc>
      </w:tr>
      <w:tr>
        <w:tc>
          <w:tcPr>
            <w:shd w:val="clear" w:color="auto" w:fill="FEF3C7"/>
          </w:tcPr>
          <w:p>
            <w:pPr>
              <w:spacing w:after="0"/>
              <w:jc w:val="left"/>
            </w:pPr>
            <w:r>
              <w:rPr>
                <w:b/>
                <w:sz w:val="18"/>
                <w:color w:val="0F172A"/>
              </w:rPr>
              <w:t>TOTAL GENERAL DE INVERSIÓN FÍSICA</w:t>
            </w:r>
          </w:p>
        </w:tc>
        <w:tc>
          <w:tcPr>
            <w:shd w:val="clear" w:color="auto" w:fill="FEF3C7"/>
          </w:tcPr>
          <w:p>
            <w:pPr>
              <w:spacing w:after="0"/>
              <w:jc w:val="left"/>
            </w:pPr>
            <w:r>
              <w:rPr>
                <w:b/>
                <w:sz w:val="18"/>
                <w:color w:val="0F172A"/>
              </w:rPr>
              <w:t>Equipamiento completo de cómputo, almacenamiento, red y respaldo eléctrico</w:t>
            </w:r>
          </w:p>
        </w:tc>
        <w:tc>
          <w:tcPr>
            <w:shd w:val="clear" w:color="auto" w:fill="FEF3C7"/>
          </w:tcPr>
          <w:p>
            <w:pPr>
              <w:spacing w:after="0"/>
              <w:jc w:val="left"/>
            </w:pPr>
            <w:r>
              <w:rPr>
                <w:b/>
                <w:sz w:val="18"/>
                <w:color w:val="0F172A"/>
              </w:rPr>
              <w:t>—</w:t>
            </w:r>
          </w:p>
        </w:tc>
        <w:tc>
          <w:tcPr>
            <w:shd w:val="clear" w:color="auto" w:fill="FEF3C7"/>
          </w:tcPr>
          <w:p>
            <w:pPr>
              <w:spacing w:after="0"/>
              <w:jc w:val="left"/>
            </w:pPr>
            <w:r>
              <w:rPr>
                <w:b/>
                <w:sz w:val="18"/>
                <w:color w:val="0F172A"/>
              </w:rPr>
              <w:t>—</w:t>
            </w:r>
          </w:p>
        </w:tc>
        <w:tc>
          <w:tcPr>
            <w:shd w:val="clear" w:color="auto" w:fill="FEF3C7"/>
          </w:tcPr>
          <w:p>
            <w:pPr>
              <w:spacing w:after="0"/>
              <w:jc w:val="right"/>
            </w:pPr>
            <w:r>
              <w:rPr>
                <w:b/>
                <w:sz w:val="18"/>
                <w:color w:val="0F172A"/>
              </w:rPr>
              <w:t>$2,480.00 USD</w:t>
            </w:r>
          </w:p>
        </w:tc>
      </w:tr>
    </w:tbl>
    <w:p>
      <w:pPr>
        <w:spacing w:after="100"/>
      </w:pPr>
    </w:p>
    <w:p>
      <w:pPr>
        <w:spacing w:before="260" w:after="100"/>
        <w:jc w:val="left"/>
      </w:pPr>
      <w:r>
        <w:rPr>
          <w:b/>
          <w:sz w:val="28"/>
          <w:color w:val="0F172A"/>
        </w:rPr>
        <w:t>CAPÍTULO IV: RESUMEN DE OPCIONES PARA DECISIÓN DEL COMANDO</w:t>
      </w:r>
    </w:p>
    <w:p>
      <w:pPr>
        <w:jc w:val="both"/>
        <w:spacing w:after="120" w:line="300" w:lineRule="auto"/>
      </w:pPr>
      <w:r>
        <w:rPr>
          <w:sz w:val="22"/>
          <w:color w:val="1E293B"/>
        </w:rPr>
        <w:t>Para otorgar flexibilidad presupuestaria a la Dirección General de MIGATO, se presentan tres alternativas consolidadas:</w:t>
      </w:r>
    </w:p>
    <w:tbl>
      <w:tblPr>
        <w:tblW w:w="5000" w:type="pct"/>
        <w:tblBorders>
          <w:top w:val="single" w:sz="6" w:space="0" w:color="CBD5E1"/>
          <w:bottom w:val="single" w:sz="12" w:space="0" w:color="0F172A"/>
          <w:left w:val="none"/>
          <w:right w:val="none"/>
          <w:insideH w:val="single" w:sz="4" w:space="0" w:color="E2E8F0"/>
          <w:insideV w:val="none"/>
        </w:tblBorders>
        <w:tblCellMar>
          <w:top w:w="100" w:type="dxa"/>
          <w:left w:w="140" w:type="dxa"/>
          <w:bottom w:w="100" w:type="dxa"/>
          <w:right w:w="140" w:type="dxa"/>
        </w:tblCellMar>
      </w:tblPr>
      <w:tr>
        <w:trPr>
          <w:tblHeader/>
        </w:trPr>
        <w:tc>
          <w:tcPr>
            <w:shd w:val="clear" w:color="auto" w:fill="0F172A"/>
          </w:tcPr>
          <w:p>
            <w:pPr>
              <w:spacing w:after="0"/>
              <w:jc w:val="left"/>
            </w:pPr>
            <w:r>
              <w:rPr>
                <w:b/>
                <w:sz w:val="19"/>
                <w:color w:val="FFFFFF"/>
              </w:rPr>
              <w:t>Opción Presupuestaria</w:t>
            </w:r>
          </w:p>
        </w:tc>
        <w:tc>
          <w:tcPr>
            <w:shd w:val="clear" w:color="auto" w:fill="0F172A"/>
          </w:tcPr>
          <w:p>
            <w:pPr>
              <w:spacing w:after="0"/>
              <w:jc w:val="left"/>
            </w:pPr>
            <w:r>
              <w:rPr>
                <w:b/>
                <w:sz w:val="19"/>
                <w:color w:val="FFFFFF"/>
              </w:rPr>
              <w:t>Alcance y Componentes</w:t>
            </w:r>
          </w:p>
        </w:tc>
        <w:tc>
          <w:tcPr>
            <w:shd w:val="clear" w:color="auto" w:fill="0F172A"/>
          </w:tcPr>
          <w:p>
            <w:pPr>
              <w:spacing w:after="0"/>
              <w:jc w:val="left"/>
            </w:pPr>
            <w:r>
              <w:rPr>
                <w:b/>
                <w:sz w:val="19"/>
                <w:color w:val="FFFFFF"/>
              </w:rPr>
              <w:t>Autonomía Eléctrica</w:t>
            </w:r>
          </w:p>
        </w:tc>
        <w:tc>
          <w:tcPr>
            <w:shd w:val="clear" w:color="auto" w:fill="0F172A"/>
          </w:tcPr>
          <w:p>
            <w:pPr>
              <w:spacing w:after="0"/>
              <w:jc w:val="left"/>
            </w:pPr>
            <w:r>
              <w:rPr>
                <w:b/>
                <w:sz w:val="19"/>
                <w:color w:val="FFFFFF"/>
              </w:rPr>
              <w:t>Inversión Total (USD)</w:t>
            </w:r>
          </w:p>
        </w:tc>
      </w:tr>
      <w:tr>
        <w:tc>
          <w:tcPr>
            <w:shd w:val="clear" w:color="auto" w:fill="FFFFFF"/>
          </w:tcPr>
          <w:p>
            <w:pPr>
              <w:spacing w:after="0"/>
              <w:jc w:val="left"/>
            </w:pPr>
            <w:r>
              <w:rPr>
                <w:b/>
                <w:sz w:val="18"/>
                <w:color w:val="0F172A"/>
              </w:rPr>
              <w:t>Opción 1: Esencial</w:t>
            </w:r>
          </w:p>
        </w:tc>
        <w:tc>
          <w:tcPr>
            <w:shd w:val="clear" w:color="auto" w:fill="FFFFFF"/>
          </w:tcPr>
          <w:p>
            <w:pPr>
              <w:spacing w:after="0"/>
              <w:jc w:val="left"/>
            </w:pPr>
            <w:r>
              <w:rPr>
                <w:sz w:val="18"/>
                <w:color w:val="334155"/>
              </w:rPr>
              <w:t>Servidor Torre + 2 SSD 1TB + UPS 1.500 VA + Switch 8 bocas</w:t>
            </w:r>
          </w:p>
        </w:tc>
        <w:tc>
          <w:tcPr>
            <w:shd w:val="clear" w:color="auto" w:fill="FFFFFF"/>
          </w:tcPr>
          <w:p>
            <w:pPr>
              <w:spacing w:after="0"/>
              <w:jc w:val="left"/>
            </w:pPr>
            <w:r>
              <w:rPr>
                <w:sz w:val="18"/>
                <w:color w:val="334155"/>
              </w:rPr>
              <w:t>20 a 30 minutos</w:t>
            </w:r>
          </w:p>
        </w:tc>
        <w:tc>
          <w:tcPr>
            <w:shd w:val="clear" w:color="auto" w:fill="FFFFFF"/>
          </w:tcPr>
          <w:p>
            <w:pPr>
              <w:spacing w:after="0"/>
              <w:jc w:val="right"/>
            </w:pPr>
            <w:r>
              <w:rPr>
                <w:sz w:val="18"/>
                <w:color w:val="334155"/>
              </w:rPr>
              <w:t>$1,550.00 USD</w:t>
            </w:r>
          </w:p>
        </w:tc>
      </w:tr>
      <w:tr>
        <w:tc>
          <w:tcPr>
            <w:shd w:val="clear" w:color="auto" w:fill="F8FAFC"/>
          </w:tcPr>
          <w:p>
            <w:pPr>
              <w:spacing w:after="0"/>
              <w:jc w:val="left"/>
            </w:pPr>
            <w:r>
              <w:rPr>
                <w:b/>
                <w:sz w:val="18"/>
                <w:color w:val="0F172A"/>
              </w:rPr>
              <w:t>Opción 2: Recomendada ★</w:t>
            </w:r>
          </w:p>
        </w:tc>
        <w:tc>
          <w:tcPr>
            <w:shd w:val="clear" w:color="auto" w:fill="F8FAFC"/>
          </w:tcPr>
          <w:p>
            <w:pPr>
              <w:spacing w:after="0"/>
              <w:jc w:val="left"/>
            </w:pPr>
            <w:r>
              <w:rPr>
                <w:sz w:val="18"/>
                <w:color w:val="334155"/>
              </w:rPr>
              <w:t>Servidor Torre + 2 SSD 1TB + 2 HDD 2TB + MikroTik hEX + UPS 2.000 VA + Switch 16 bocas</w:t>
            </w:r>
          </w:p>
        </w:tc>
        <w:tc>
          <w:tcPr>
            <w:shd w:val="clear" w:color="auto" w:fill="F8FAFC"/>
          </w:tcPr>
          <w:p>
            <w:pPr>
              <w:spacing w:after="0"/>
              <w:jc w:val="left"/>
            </w:pPr>
            <w:r>
              <w:rPr>
                <w:sz w:val="18"/>
                <w:color w:val="334155"/>
              </w:rPr>
              <w:t>30 a 45 minutos</w:t>
            </w:r>
          </w:p>
        </w:tc>
        <w:tc>
          <w:tcPr>
            <w:shd w:val="clear" w:color="auto" w:fill="F8FAFC"/>
          </w:tcPr>
          <w:p>
            <w:pPr>
              <w:spacing w:after="0"/>
              <w:jc w:val="right"/>
            </w:pPr>
            <w:r>
              <w:rPr>
                <w:sz w:val="18"/>
                <w:color w:val="334155"/>
              </w:rPr>
              <w:t>$2,480.00 USD</w:t>
            </w:r>
          </w:p>
        </w:tc>
      </w:tr>
      <w:tr>
        <w:tc>
          <w:tcPr>
            <w:shd w:val="clear" w:color="auto" w:fill="FFFFFF"/>
          </w:tcPr>
          <w:p>
            <w:pPr>
              <w:spacing w:after="0"/>
              <w:jc w:val="left"/>
            </w:pPr>
            <w:r>
              <w:rPr>
                <w:b/>
                <w:sz w:val="18"/>
                <w:color w:val="0F172A"/>
              </w:rPr>
              <w:t>Opción 3: Servidor Rack 2U</w:t>
            </w:r>
          </w:p>
        </w:tc>
        <w:tc>
          <w:tcPr>
            <w:shd w:val="clear" w:color="auto" w:fill="FFFFFF"/>
          </w:tcPr>
          <w:p>
            <w:pPr>
              <w:spacing w:after="0"/>
              <w:jc w:val="left"/>
            </w:pPr>
            <w:r>
              <w:rPr>
                <w:sz w:val="18"/>
                <w:color w:val="334155"/>
              </w:rPr>
              <w:t>Servidor Rack Dell R730 Doble Xeon + Discos Full + MikroTik + Inversor con Baterías</w:t>
            </w:r>
          </w:p>
        </w:tc>
        <w:tc>
          <w:tcPr>
            <w:shd w:val="clear" w:color="auto" w:fill="FFFFFF"/>
          </w:tcPr>
          <w:p>
            <w:pPr>
              <w:spacing w:after="0"/>
              <w:jc w:val="left"/>
            </w:pPr>
            <w:r>
              <w:rPr>
                <w:sz w:val="18"/>
                <w:color w:val="334155"/>
              </w:rPr>
              <w:t>4 a 6 horas</w:t>
            </w:r>
          </w:p>
        </w:tc>
        <w:tc>
          <w:tcPr>
            <w:shd w:val="clear" w:color="auto" w:fill="FFFFFF"/>
          </w:tcPr>
          <w:p>
            <w:pPr>
              <w:spacing w:after="0"/>
              <w:jc w:val="right"/>
            </w:pPr>
            <w:r>
              <w:rPr>
                <w:sz w:val="18"/>
                <w:color w:val="334155"/>
              </w:rPr>
              <w:t>$3,550.00 USD</w:t>
            </w:r>
          </w:p>
        </w:tc>
      </w:tr>
    </w:tbl>
    <w:p>
      <w:pPr>
        <w:spacing w:after="100"/>
      </w:pPr>
    </w:p>
    <w:tbl>
      <w:tblPr>
        <w:tblW w:w="5000" w:type="pct"/>
        <w:tblBorders>
          <w:left w:val="single" w:sz="36" w:space="0" w:color="0284C7"/>
          <w:top w:val="none"/>
          <w:right w:val="none"/>
          <w:bottom w:val="none"/>
          <w:insideH w:val="none"/>
          <w:insideV w:val="none"/>
        </w:tblBorders>
        <w:tblCellMar>
          <w:top w:w="120" w:type="dxa"/>
          <w:left w:w="160" w:type="dxa"/>
          <w:bottom w:w="120" w:type="dxa"/>
          <w:right w:w="160" w:type="dxa"/>
        </w:tblCellMar>
      </w:tblPr>
      <w:tr>
        <w:tc>
          <w:tcPr>
            <w:shd w:val="clear" w:color="auto" w:fill="F0F9FF"/>
          </w:tcPr>
          <w:p>
            <w:pPr>
              <w:spacing w:after="40"/>
            </w:pPr>
            <w:r>
              <w:rPr>
                <w:b/>
                <w:sz w:val="18"/>
                <w:color w:val="0369A1"/>
              </w:rPr>
              <w:t>NOTA TÉCNICA ESTRATÉGICA</w:t>
            </w:r>
          </w:p>
          <w:p>
            <w:pPr>
              <w:spacing w:after="40"/>
            </w:pPr>
            <w:r>
              <w:rPr>
                <w:sz w:val="19"/>
                <w:color w:val="0F172A"/>
              </w:rPr>
              <w:t>DICTAMEN TÉCNICO: Se recomienda formalmente la APROBACIÓN DE LA OPCIÓN 2 ($2,480.00 USD). Representa la configuración más robusta, balanceada y segura para la Sala Situacional de El Gato Briceño, contando con almacenamiento espejo contra fallas y puerta de enlace MikroTik.</w:t>
            </w:r>
          </w:p>
        </w:tc>
      </w:tr>
    </w:tbl>
    <w:p>
      <w:pPr>
        <w:spacing w:after="80"/>
      </w:pPr>
    </w:p>
    <w:p>
      <w:pPr>
        <w:spacing w:before="260" w:after="100"/>
        <w:jc w:val="left"/>
      </w:pPr>
      <w:r>
        <w:rPr>
          <w:b/>
          <w:sz w:val="28"/>
          <w:color w:val="0F172A"/>
        </w:rPr>
        <w:t>CAPÍTULO V: CONFORMIDAD Y FIRMAS AUTORIZADAS</w:t>
      </w:r>
    </w:p>
    <w:p>
      <w:pPr>
        <w:jc w:val="both"/>
        <w:spacing w:after="120" w:line="300" w:lineRule="auto"/>
      </w:pPr>
      <w:r>
        <w:rPr>
          <w:sz w:val="22"/>
          <w:color w:val="1E293B"/>
        </w:rPr>
        <w:t>El presente dictamen técnico se emite en la ciudad de Maturín, Estado Monagas, a los efectos de su evaluación y aprobación formal por parte del Comando Estratégico:</w:t>
      </w:r>
    </w:p>
    <w:p>
      <w:pPr>
        <w:spacing w:before="300"/>
      </w:pPr>
    </w:p>
    <w:tbl>
      <w:tblPr>
        <w:tblW w:w="5000" w:type="pct"/>
        <w:tblBorders>
          <w:top w:val="none"/>
          <w:bottom w:val="none"/>
          <w:left w:val="none"/>
          <w:right w:val="none"/>
          <w:insideH w:val="none"/>
          <w:insideV w:val="none"/>
        </w:tblBorders>
      </w:tblPr>
      <w:tr>
        <w:tc>
          <w:p>
            <w:pPr>
              <w:jc w:val="center"/>
              <w:spacing w:before="260" w:after="20"/>
            </w:pPr>
            <w:r>
              <w:t>__________________________________</w:t>
            </w:r>
          </w:p>
          <w:p>
            <w:pPr>
              <w:jc w:val="center"/>
              <w:spacing w:after="20"/>
            </w:pPr>
            <w:r>
              <w:rPr>
                <w:b/>
                <w:sz w:val="20"/>
                <w:color w:val="0F172A"/>
              </w:rPr>
              <w:t>COMANDO ESTRATÉGICO MIGATO</w:t>
            </w:r>
          </w:p>
          <w:p>
            <w:pPr>
              <w:jc w:val="center"/>
              <w:spacing w:after="20"/>
            </w:pPr>
            <w:r>
              <w:rPr>
                <w:color w:val="64748B"/>
                <w:sz w:val="17"/>
              </w:rPr>
              <w:t>Dirección de Operaciones • El Gato Briceño</w:t>
            </w:r>
          </w:p>
        </w:tc>
        <w:tc>
          <w:p>
            <w:pPr>
              <w:jc w:val="center"/>
              <w:spacing w:before="260" w:after="20"/>
            </w:pPr>
            <w:r>
              <w:t>__________________________________</w:t>
            </w:r>
          </w:p>
          <w:p>
            <w:pPr>
              <w:jc w:val="center"/>
              <w:spacing w:after="20"/>
            </w:pPr>
            <w:r>
              <w:rPr>
                <w:b/>
                <w:sz w:val="20"/>
                <w:color w:val="0F172A"/>
              </w:rPr>
              <w:t>ING. DIEGO DONADO</w:t>
            </w:r>
          </w:p>
          <w:p>
            <w:pPr>
              <w:jc w:val="center"/>
              <w:spacing w:after="20"/>
            </w:pPr>
            <w:r>
              <w:rPr>
                <w:color w:val="64748B"/>
                <w:sz w:val="17"/>
              </w:rPr>
              <w:t>Responsable de Ciencia y Tecnología MIGATO</w:t>
            </w:r>
          </w:p>
        </w:tc>
      </w:tr>
    </w:tbl>
    <w:sectPr>
      <w:headerReference w:type="first" r:id="rIdHeaderFirst"/>
      <w:headerReference w:type="default" r:id="rIdHeader1"/>
      <w:footerReference w:type="first" r:id="rIdFooterFirst"/>
      <w:footerReference w:type="default" r:id="rIdFooter1"/>
      <w:titlePg/>
      <w:pgSz w:w="12240" w:h="15840"/>
      <w:pgMar w:top="1440" w:right="1440" w:bottom="1440" w:left="1440" w:header="720" w:footer="720" w:gutter="0"/>
    </w:sectPr>
  </w:body>
</w:document>
</file>

<file path=word/footer1.xml><?xml version="1.0" encoding="utf-8"?>
<w:ftr xmlns:w="http://schemas.openxmlformats.org/wordprocessingml/2006/main">
  <w:tbl>
    <w:tblPr>
      <w:tblW w:w="5000" w:type="pct"/>
      <w:tblBorders>
        <w:top w:val="single" w:sz="6" w:space="0" w:color="CBD5E1"/>
        <w:bottom w:val="none"/>
        <w:left w:val="none"/>
        <w:right w:val="none"/>
        <w:insideH w:val="none"/>
        <w:insideV w:val="none"/>
      </w:tblBorders>
    </w:tblPr>
    <w:tr>
      <w:tc>
        <w:p>
          <w:pPr>
            <w:jc w:val="left"/>
            <w:spacing w:before="60"/>
          </w:pPr>
          <w:r>
            <w:rPr>
              <w:sz w:val="15"/>
              <w:color w:val="94A3B8"/>
            </w:rPr>
            <w:t>MIGATO • Documento Técnico de Arquitectura Física y Presupuesto</w:t>
          </w:r>
        </w:p>
      </w:tc>
      <w:tc>
        <w:tcPr>
          <w:tcW w:w="1200" w:type="dxa"/>
        </w:tcPr>
        <w:p>
          <w:pPr>
            <w:jc w:val="right"/>
            <w:spacing w:before="60"/>
          </w:pPr>
          <w:r>
            <w:rPr>
              <w:b/>
              <w:sz w:val="15"/>
              <w:color w:val="64748B"/>
            </w:rPr>
            <w:t>Página </w:t>
          </w:r>
          <w:fldSimple w:instr="PAGE"/>
        </w:p>
      </w:tc>
    </w:tr>
  </w:tbl>
</w:ftr>
</file>

<file path=word/footer_first.xml><?xml version="1.0" encoding="utf-8"?>
<w:ftr xmlns:w="http://schemas.openxmlformats.org/wordprocessingml/2006/main">
  <w:p/>
</w:ftr>
</file>

<file path=word/header1.xml><?xml version="1.0" encoding="utf-8"?>
<w:hdr xmlns:w="http://schemas.openxmlformats.org/wordprocessingml/2006/main" xmlns:r="http://schemas.openxmlformats.org/officeDocument/2006/relationships">
  <w:tbl>
    <w:tblPr>
      <w:tblW w:w="5000" w:type="pct"/>
      <w:tblBorders>
        <w:bottom w:val="single" w:sz="12" w:space="0" w:color="0284C7"/>
        <w:top w:val="none"/>
        <w:left w:val="none"/>
        <w:right w:val="none"/>
        <w:insideH w:val="none"/>
        <w:insideV w:val="none"/>
      </w:tblBorders>
    </w:tblPr>
    <w:tr>
      <w:tc>
        <w:p>
          <w:pPr>
            <w:jc w:val="left"/>
            <w:spacing w:after="60"/>
          </w:pPr>
          <w:r>
            <w:rPr>
              <w:b/>
              <w:sz w:val="16"/>
              <w:color w:val="0284C7"/>
            </w:rPr>
            <w:t>COMANDO ESTRATÉGICO MIGATO 2026 • SALA SITUACIONAL</w:t>
          </w:r>
          <w:r>
            <w:rPr>
              <w:sz w:val="15"/>
              <w:color w:val="64748B"/>
            </w:rPr>
            <w:t> | Dictamen de Hardware y Red</w:t>
          </w:r>
        </w:p>
      </w:tc>
      <w:tc>
        <w:tcPr>
          <w:tcW w:w="1200" w:type="dxa"/>
        </w:tcPr>
        <w:p>
          <w:pPr>
            <w:jc w:val="right"/>
            <w:spacing w:after="60"/>
          </w:pPr>
          <w:r>
            <w:rPr>
              <w:b/>
              <w:sz w:val="15"/>
              <w:color w:val="F59E0B"/>
            </w:rPr>
            <w:t>MONAGAS 2026</w:t>
          </w:r>
        </w:p>
      </w:tc>
    </w:tr>
  </w:tbl>
</w:hdr>
</file>

<file path=word/header_first.xml><?xml version="1.0" encoding="utf-8"?>
<w:hdr xmlns:w="http://schemas.openxmlformats.org/wordprocessingml/2006/main">
  <w:p/>
</w:hdr>
</file>

<file path=word/styles.xml><?xml version="1.0" encoding="utf-8"?>
<w:styles xmlns:w="http://schemas.openxmlformats.org/wordprocessingml/2006/main">
  <w:docDefaults>
    <w:rPrDefault>
      <w:rFonts w:ascii="Arial" w:hAnsi="Arial" w:cs="Arial"/>
      <w:sz w:val="22"/>
      <w:szCs w:val="22"/>
      <w:color w:val="1E293B"/>
    </w:rPrDefault>
    <w:pPrDefault>
      <w:spacing w:line="300" w:lineRule="auto" w:after="120"/>
      <w:jc w:val="both"/>
    </w:pPrDefault>
  </w:docDefaults>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Header1" Type="http://schemas.openxmlformats.org/officeDocument/2006/relationships/header" Target="header1.xml"/>
  <Relationship Id="rIdFooter1" Type="http://schemas.openxmlformats.org/officeDocument/2006/relationships/footer" Target="footer1.xml"/>
  <Relationship Id="rIdHeaderFirst" Type="http://schemas.openxmlformats.org/officeDocument/2006/relationships/header" Target="header_first.xml"/>
  <Relationship Id="rIdFooterFirst" Type="http://schemas.openxmlformats.org/officeDocument/2006/relationships/footer" Target="footer_first.xml"/>
  <Relationship Id="rIdLogoDoc" Type="http://schemas.openxmlformats.org/officeDocument/2006/relationships/image" Target="media/logo.png"/>
</Relationships>
</file>

<file path=word/_rels/header1.xml.rels><?xml version="1.0" encoding="UTF-8" standalone="yes"?>
<Relationships xmlns="http://schemas.openxmlformats.org/package/2006/relationships">
  <Relationship Id="rIdHeaderLogo" Type="http://schemas.openxmlformats.org/officeDocument/2006/relationships/image" Target="media/logo.png"/>
</Relationships>
</file>