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_first.xml" ContentType="application/vnd.openxmlformats-officedocument.wordprocessingml.header+xml"/>
  <Override PartName="/word/footer_first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REPÚBLICA BOLIVARIANA DE VENEZUELA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MOVIMIENTO INDEPENDIENTE GANAMOS TODOS (MIGATO)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EQUIPO TÉCNICO REGIONAL DE INFORMÁTICA Y SISTEMAS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MATURÍN, ESTADO MONAGAS</w:t>
      </w:r>
    </w:p>
    <w:p>
      <w:pPr>
        <w:spacing w:before="0" w:after="60" w:line="240" w:lineRule="auto"/>
      </w:pPr>
    </w:p>
    <w:p>
      <w:pPr>
        <w:spacing w:before="100" w:after="100" w:line="240" w:lineRule="auto"/>
        <w:jc w:val="center"/>
      </w:pPr>
      <w:r>
        <w:drawing>
          <wp:inline distT="0" distB="0" distL="0" distR="0">
            <wp:extent cx="1450000" cy="1415000"/>
            <wp:docPr id="1" name="Logo MIGATO"/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450000" cy="14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</w:p>
    <w:p>
      <w:pPr>
        <w:spacing w:before="140" w:after="80" w:line="280" w:lineRule="auto"/>
        <w:jc w:val="center"/>
      </w:pPr>
      <w:r>
        <w:rPr>
          <w:rFonts w:ascii="Times New Roman" w:hAnsi="Times New Roman"/>
          <w:b/>
          <w:sz w:val="25"/>
          <w:szCs w:val="25"/>
        </w:rPr>
        <w:t>PROPUESTA TÉCNICA Y PRESUPUESTO DE INFRAESTRUCTURA: SERVIDOR LOCAL Y NUBE</w:t>
      </w:r>
    </w:p>
    <w:p>
      <w:pPr>
        <w:spacing w:before="30" w:after="140" w:line="250" w:lineRule="auto"/>
        <w:jc w:val="center"/>
      </w:pPr>
      <w:r>
        <w:rPr>
          <w:rFonts w:ascii="Times New Roman" w:hAnsi="Times New Roman"/>
          <w:sz w:val="21"/>
          <w:szCs w:val="21"/>
        </w:rPr>
        <w:t>Informe Técnico-Económico para la Puesta en Marcha de la Sala Situacional de Campaña, Servidor Físico RAID 1, Gateway MikroTik y Servidor Cloud VPS MIGATO 2026</w:t>
      </w:r>
    </w:p>
    <w:p>
      <w:pPr>
        <w:spacing w:before="0" w:after="100" w:line="240" w:lineRule="auto"/>
      </w:pPr>
    </w:p>
    <w:p>
      <w:pPr>
        <w:spacing w:before="80" w:after="20" w:line="240" w:lineRule="auto"/>
        <w:ind w:left="3800"/>
        <w:jc w:val="left"/>
      </w:pPr>
      <w:r>
        <w:rPr>
          <w:rFonts w:ascii="Times New Roman" w:hAnsi="Times New Roman"/>
          <w:b/>
          <w:sz w:val="21"/>
        </w:rPr>
        <w:t>Elaborado por:</w:t>
      </w:r>
    </w:p>
    <w:p>
      <w:pPr>
        <w:spacing w:before="0" w:after="15" w:line="240" w:lineRule="auto"/>
        <w:ind w:left="3800"/>
        <w:jc w:val="left"/>
      </w:pPr>
      <w:r>
        <w:rPr>
          <w:rFonts w:ascii="Times New Roman" w:hAnsi="Times New Roman"/>
          <w:sz w:val="21"/>
        </w:rPr>
        <w:t>Equipo Técnico Regional de Sistemas e Informática</w:t>
      </w:r>
    </w:p>
    <w:p>
      <w:pPr>
        <w:spacing w:before="0" w:after="50" w:line="240" w:lineRule="auto"/>
        <w:ind w:left="3800"/>
        <w:jc w:val="left"/>
      </w:pPr>
      <w:r>
        <w:rPr>
          <w:rFonts w:ascii="Times New Roman" w:hAnsi="Times New Roman"/>
          <w:sz w:val="21"/>
        </w:rPr>
        <w:t>Ing. Diego Donado • Ciencia y Tecnología MIGATO</w:t>
      </w:r>
    </w:p>
    <w:p>
      <w:pPr>
        <w:spacing w:before="0" w:after="80" w:line="240" w:lineRule="auto"/>
      </w:pPr>
    </w:p>
    <w:p>
      <w:pPr>
        <w:spacing w:before="120" w:after="0" w:line="240" w:lineRule="auto"/>
        <w:jc w:val="center"/>
      </w:pPr>
      <w:r>
        <w:rPr>
          <w:rFonts w:ascii="Times New Roman" w:hAnsi="Times New Roman"/>
          <w:b/>
          <w:sz w:val="22"/>
        </w:rPr>
        <w:t>Maturín, septiembre de 2026</w:t>
      </w:r>
    </w:p>
    <w:p>
      <w:r>
        <w:br w:type="page"/>
      </w:r>
    </w:p>
    <w:p>
      <w:pPr>
        <w:spacing w:before="10" w:after="12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INTRODUCCIÓN Y PREMISA OPERATIVA</w:t>
      </w:r>
    </w:p>
    <w:p>
      <w:pPr>
        <w:spacing w:before="0" w:after="14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El presente informe tiene como propósito exponer ante la directiva del partido y el comando de campaña la propuesta técnica y el presupuesto de dotación tecnológica, instalación y puesta en marcha para la Sala Situacional de Maturín y la plataforma electoral del Movimiento Independiente Ganamos Todos (MIGATO) en el Estado Monagas. Premisa de Alcance: El presente proyecto se enfoca estrictamente en el equipamiento de cómputo, almacenamiento RAID 1, electrónica de red y conectividad lógica, bajo la premisa de que la sede ya cuenta con el centro de cómputo acondicionado (rack de comunicaciones existente y acometida eléctrica base). De requerirse obras civiles adicionales (suministro de rack de piso, marquesinas o cableado de potencia), se presupuestarán en una fase anexa independiente.</w:t>
      </w:r>
    </w:p>
    <w:p>
      <w:pPr>
        <w:spacing w:before="10" w:after="6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1. RESUMEN EJECUTIVO DE INVERSIÓN</w:t>
      </w:r>
    </w:p>
    <w:p>
      <w:pPr>
        <w:spacing w:before="0" w:after="8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Para lograr un despliegue equilibrado, la inversión se divide en dos componentes: 1) Equipamiento físico de sala para procesamiento local de alta velocidad sin saturar el ancho de banda; y 2) Servidor en la nube (Cloud VPS) con disponibilidad 24/7 para el reporte móvil de los testigos en centros electorales.</w:t>
      </w:r>
    </w:p>
    <w:tbl>
      <w:tblPr>
        <w:tblW w:w="0" w:type="auto"/>
        <w:jc w:val="center"/>
        <w:tblBorders>
          <w:top w:val="single" w:sz="6" w:space="0" w:color="000000"/>
          <w:left w:val="none"/>
          <w:bottom w:val="single" w:sz="6" w:space="0" w:color="000000"/>
          <w:right w:val="none"/>
          <w:insideH w:val="single" w:sz="4" w:space="0" w:color="CCCCCC"/>
          <w:insideV w:val="non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0"/>
        <w:gridCol w:w="2400"/>
        <w:gridCol w:w="2400"/>
        <w:gridCol w:w="1800"/>
      </w:tblGrid>
      <w:tr>
        <w:trPr>
          <w:tblHeader/>
        </w:trPr>
        <w:tc>
          <w:tcPr>
            <w:tcW w:w="30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Componente / Ámbito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Modalidad de Inversión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Cobertura Operativa</w:t>
            </w:r>
          </w:p>
        </w:tc>
        <w:tc>
          <w:tcPr>
            <w:tcW w:w="18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Inversión (USD)</w:t>
            </w:r>
          </w:p>
        </w:tc>
      </w:tr>
      <w:tr>
        <w:tc>
          <w:tcPr>
            <w:tcW w:w="30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A. Equipamiento Físico de Sala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Pago Único (Hardware)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45 a 60 min de respaldo en apagones</w:t>
            </w:r>
          </w:p>
        </w:tc>
        <w:tc>
          <w:tcPr>
            <w:tcW w:w="18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$862,46 USD</w:t>
            </w:r>
          </w:p>
        </w:tc>
      </w:tr>
      <w:tr>
        <w:tc>
          <w:tcPr>
            <w:tcW w:w="30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B. Servidor Cloud VPS (Nube)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Suscripción Mensual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24/7 en línea para los 13 municipios</w:t>
            </w:r>
          </w:p>
        </w:tc>
        <w:tc>
          <w:tcPr>
            <w:tcW w:w="18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$24,50 USD / mes</w:t>
            </w:r>
          </w:p>
        </w:tc>
      </w:tr>
      <w:tr>
        <w:tc>
          <w:tcPr>
            <w:tcW w:w="30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TOTAL INVERSIÓN INTEGRAL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Equipos físicos + 1 año de Servidor Cloud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Sala Situacional + Cobertura Total</w:t>
            </w:r>
          </w:p>
        </w:tc>
        <w:tc>
          <w:tcPr>
            <w:tcW w:w="1800" w:type="dxa"/>
            <w:shd w:val="clear" w:color="auto" w:fill="F5F5F5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$1.156,46 USD</w:t>
            </w:r>
          </w:p>
        </w:tc>
      </w:tr>
    </w:tbl>
    <w:p>
      <w:pPr>
        <w:spacing w:before="0" w:after="12" w:line="240" w:lineRule="auto"/>
      </w:pPr>
    </w:p>
    <w:p>
      <w:pPr>
        <w:spacing w:before="10" w:after="6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2. DETALLE DE EQUIPAMIENTO E INSTALACIÓN (SALA SITUACIONAL)</w:t>
      </w:r>
    </w:p>
    <w:p>
      <w:pPr>
        <w:spacing w:before="0" w:after="8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Se descartan servidores industriales pesados de rack (Dell PowerEdge antiguos) debido a su excesivo consumo eléctrico (300W a 500W), ruido ensordecedor y escasa autonomía en UPS. En su lugar, se implementa una estación de trabajo Dell OptiPlex Core i7 con almacenamiento dual 100% en estado sólido en arreglo espejo (RAID 1) y consumo eficiente (65W). A continuación se detallan los costos cotizados en tiempo real en Mercado Libre Venezuela:</w:t>
      </w:r>
    </w:p>
    <w:tbl>
      <w:tblPr>
        <w:tblW w:w="0" w:type="auto"/>
        <w:jc w:val="center"/>
        <w:tblBorders>
          <w:top w:val="single" w:sz="6" w:space="0" w:color="000000"/>
          <w:left w:val="none"/>
          <w:bottom w:val="single" w:sz="6" w:space="0" w:color="000000"/>
          <w:right w:val="none"/>
          <w:insideH w:val="single" w:sz="4" w:space="0" w:color="CCCCCC"/>
          <w:insideV w:val="non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0"/>
        <w:gridCol w:w="2400"/>
        <w:gridCol w:w="3800"/>
        <w:gridCol w:w="600"/>
        <w:gridCol w:w="1100"/>
        <w:gridCol w:w="1300"/>
      </w:tblGrid>
      <w:tr>
        <w:trPr>
          <w:tblHeader/>
        </w:trPr>
        <w:tc>
          <w:tcPr>
            <w:tcW w:w="400" w:type="dxa"/>
            <w:shd w:val="clear" w:color="auto" w:fill="EAEAEA"/>
          </w:tcPr>
          <w:p>
            <w:pPr>
              <w:spacing w:before="10" w:after="10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N°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Equipo / Dispositivo</w:t>
            </w:r>
          </w:p>
        </w:tc>
        <w:tc>
          <w:tcPr>
            <w:tcW w:w="38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Especificación Técnica Real</w:t>
            </w:r>
          </w:p>
        </w:tc>
        <w:tc>
          <w:tcPr>
            <w:tcW w:w="600" w:type="dxa"/>
            <w:shd w:val="clear" w:color="auto" w:fill="EAEAEA"/>
          </w:tcPr>
          <w:p>
            <w:pPr>
              <w:spacing w:before="10" w:after="10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Cant.</w:t>
            </w:r>
          </w:p>
        </w:tc>
        <w:tc>
          <w:tcPr>
            <w:tcW w:w="11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Costo Unit.</w:t>
            </w:r>
          </w:p>
        </w:tc>
        <w:tc>
          <w:tcPr>
            <w:tcW w:w="13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Total (USD)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Computador Servidor Dell OptiPlex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Core i7-6700 (3.40 GHz), 8 GB RAM DDR4 (expandible), chasis SFF silencioso (65W)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$215,00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$215,00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Discos Sólidos SSD 480GB (RAID 1)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2x SSD SATA 2.5" 480GB WD Green en Espejo simétrico (Sistema y Base de Datos)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$109,99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$219,98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Router Gateway MikroTik hEX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MikroTik RB750Gr3 (Dual Core 880MHz, 5 Puertos Gigabit). Firewall y túnel WireGuard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$105,00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$105,00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Switch Gigabit de Sala (16 Puertos)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TP-Link TL-SG1016D 16 Puertos 10/100/1000 Mbps chasis metálico para distribución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$99,96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$99,96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Bobina Cable UTP Cat6 (305 metros)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Bobina 305m Cat6 STC interior 100% cobre para cableado estructurado de puestos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$72,99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$72,99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Conectores RJ45 Cat6 (Caja 100 un.)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Conectores RJ45 Cat6 con contactos dorados de alta conductividad para patch cords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$6,62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$6,62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Kit de Herramientas de Red UTP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Kit completo: ponchadora/crimpeadora RJ45-RJ11 + tester UTP probador de cable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$12,50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$12,50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UPS de Respaldo Eléctrico 1.200 VA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UPS Epcom EPU1200LCD 1.200 VA con pantalla digital interactiva y regulador AVR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$130,41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$130,41 USD</w:t>
            </w:r>
          </w:p>
        </w:tc>
      </w:tr>
      <w:tr>
        <w:tc>
          <w:tcPr>
            <w:tcW w:w="400" w:type="dxa"/>
            <w:shd w:val="clear" w:color="auto" w:fill="F5F5F5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TOTAL EQUIPAMIENTO FÍSICO</w:t>
            </w:r>
          </w:p>
        </w:tc>
        <w:tc>
          <w:tcPr>
            <w:tcW w:w="38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Dotación completa de cómputo, almacenamiento RAID 1, red y respaldo eléctrico</w:t>
            </w:r>
          </w:p>
        </w:tc>
        <w:tc>
          <w:tcPr>
            <w:tcW w:w="600" w:type="dxa"/>
            <w:shd w:val="clear" w:color="auto" w:fill="F5F5F5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11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1300" w:type="dxa"/>
            <w:shd w:val="clear" w:color="auto" w:fill="F5F5F5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$862,46 USD</w:t>
            </w:r>
          </w:p>
        </w:tc>
      </w:tr>
    </w:tbl>
    <w:p>
      <w:pPr>
        <w:spacing w:before="6" w:after="20" w:line="200" w:lineRule="auto"/>
        <w:jc w:val="both"/>
      </w:pPr>
      <w:r>
        <w:rPr>
          <w:rFonts w:ascii="Times New Roman" w:hAnsi="Times New Roman"/>
          <w:i/>
          <w:sz w:val="16"/>
          <w:szCs w:val="16"/>
          <w:color w:val="444444"/>
        </w:rPr>
        <w:t>* Nota Técnica sobre Almacenamiento (SATA vs. M.2 NVMe): La placa base del Dell OptiPlex 5040 posee una sola ranura M.2 de almacenamiento y dos puertos SATA III. Para asegurar redundancia simétrica RAID 1 (espejo en tiempo real) sin adaptadores PCIe adicionales ni sobrecalentamiento en chasis SFF, se emplean dos discos SSD SATA 2.5" nativos.</w:t>
      </w:r>
    </w:p>
    <w:p>
      <w:r>
        <w:br w:type="page"/>
      </w:r>
    </w:p>
    <w:p>
      <w:pPr>
        <w:spacing w:before="10" w:after="15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3. ARQUITECTURA: VANGUARDIA EN LA NUBE Y BÓVEDA FÍSICA</w:t>
      </w:r>
    </w:p>
    <w:p>
      <w:pPr>
        <w:spacing w:before="0" w:after="12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Para blindar la plataforma política contra sabotajes, bloqueos o apagones, la infraestructura opera bajo un modelo de dos capas: Vanguardia en la Nube (Front-line) y Bóveda Blindada en Físico (Data Vault):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1. Vanguardia en la Nube (Cloud VPS Front-line): </w:t>
      </w:r>
      <w:r>
        <w:rPr>
          <w:rFonts w:ascii="Times New Roman" w:hAnsi="Times New Roman"/>
          <w:sz w:val="20"/>
        </w:rPr>
        <w:t xml:space="preserve">Constituye la primera línea de recepción. Recibe el tráfico masivo de teléfonos de testigos en los 13 municipios, valida reportes y absorbe cualquier ataque cibernético (DDoS) sin exponer la dirección IP ni la ubicación física de la sede en Maturín.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2. Enlace Cifrado y Replicación Continua: </w:t>
      </w:r>
      <w:r>
        <w:rPr>
          <w:rFonts w:ascii="Times New Roman" w:hAnsi="Times New Roman"/>
          <w:sz w:val="20"/>
        </w:rPr>
        <w:t xml:space="preserve">El Servidor Cloud VPS retransmite las transacciones en tiempo real al computador Dell de la oficina en Maturín a través de un túnel seguro VPN WireGuard gestionado por el router MikroTik.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3. Bóveda Física en Espejo (RAID 1): </w:t>
      </w:r>
      <w:r>
        <w:rPr>
          <w:rFonts w:ascii="Times New Roman" w:hAnsi="Times New Roman"/>
          <w:sz w:val="20"/>
        </w:rPr>
        <w:t xml:space="preserve">El computador Dell en sala graba cada voto y acta simultáneamente en sus dos unidades SSD. Si Conatel bloquea la nube o se corta el internet internacional, MIGATO conserva el 100% de la información físicamente en sus manos, inconfiscable e imborrable.</w:t>
      </w:r>
    </w:p>
    <w:p>
      <w:pPr>
        <w:spacing w:before="0" w:after="18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4. Respaldo Eléctrico y Autonomía Local: </w:t>
      </w:r>
      <w:r>
        <w:rPr>
          <w:rFonts w:ascii="Times New Roman" w:hAnsi="Times New Roman"/>
          <w:sz w:val="20"/>
        </w:rPr>
        <w:t xml:space="preserve">En caso de corte eléctrico en Maturín, el UPS mantiene la estación Dell, el switch y el MikroTik operando durante 45 a 60 minutos. Si el corte persiste, la sala continúa procesando actas en red local por llamadas directas sin depender de la nube.</w:t>
      </w:r>
    </w:p>
    <w:p>
      <w:pPr>
        <w:spacing w:before="15" w:after="10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4. RECOMENDACIÓN FINAL Y DECISIÓN</w:t>
      </w:r>
    </w:p>
    <w:p>
      <w:pPr>
        <w:spacing w:before="0" w:after="25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Se recomienda formalmente la aprobación del presupuesto físico de $862,46 USD para la dotación de la Sala Situacional y la suscripción del Servidor Cloud VPS ($24,50 USD/mes), otorgando a MIGATO una plataforma territorial moderna, de máxima velocidad y blindada contra fallas. Nota de Seguridad: El sistema de cámaras de videovigilancia (CCTV) se cotizará por separado más adelante según lo instruido; no obstante, el switch de 16 puertos, el kit de herramientas y la bobina Cat6 presupuestados en este documento ya dejan instalados los puntos de red requeridos.</w:t>
      </w:r>
    </w:p>
    <w:p>
      <w:pPr>
        <w:spacing w:before="15" w:after="20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5. CONFORMIDAD Y FIRMAS AUTORIZADAS</w:t>
      </w:r>
    </w:p>
    <w:tbl>
      <w:tblPr>
        <w:tblW w:w="8260" w:type="dxa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30"/>
        <w:gridCol w:w="4130"/>
      </w:tblGrid>
      <w:tr>
        <w:tc>
          <w:tcPr>
            <w:tcW w:w="4130" w:type="dxa"/>
          </w:tcPr>
          <w:p>
            <w:pPr>
              <w:spacing w:before="120" w:after="15" w:line="240" w:lineRule="auto"/>
              <w:jc w:val="center"/>
            </w:pPr>
            <w:r>
              <w:t>_______________________________________</w:t>
            </w:r>
          </w:p>
          <w:p>
            <w:pPr>
              <w:spacing w:before="0" w:after="1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  <w:color w:val="000000"/>
              </w:rPr>
              <w:t>COMANDO ESTRATÉGICO MIGATO</w:t>
            </w:r>
          </w:p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/>
                <w:sz w:val="15"/>
                <w:color w:val="555555"/>
              </w:rPr>
              <w:t>Dirección de Operaciones • El Gato Briceño</w:t>
            </w:r>
          </w:p>
        </w:tc>
        <w:tc>
          <w:tcPr>
            <w:tcW w:w="4130" w:type="dxa"/>
          </w:tcPr>
          <w:p>
            <w:pPr>
              <w:spacing w:before="120" w:after="15" w:line="240" w:lineRule="auto"/>
              <w:jc w:val="center"/>
            </w:pPr>
            <w:r>
              <w:t>_______________________________________</w:t>
            </w:r>
          </w:p>
          <w:p>
            <w:pPr>
              <w:spacing w:before="0" w:after="1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  <w:color w:val="000000"/>
              </w:rPr>
              <w:t>ING. DIEGO DONADO</w:t>
            </w:r>
          </w:p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/>
                <w:sz w:val="15"/>
                <w:color w:val="555555"/>
              </w:rPr>
              <w:t>Responsable de Ciencia y Tecnología MIGATO</w:t>
            </w:r>
          </w:p>
        </w:tc>
      </w:tr>
    </w:tbl>
    <w:sectPr>
      <w:headerReference w:type="first" r:id="rIdHeaderFirst"/>
      <w:headerReference w:type="default" r:id="rIdHeader1"/>
      <w:footerReference w:type="first" r:id="rIdFooterFirst"/>
      <w:footerReference w:type="default" r:id="rIdFooter1"/>
      <w:titlePg/>
      <w:pgSz w:w="12240" w:h="15840"/>
      <w:pgMar w:top="1440" w:right="1440" w:bottom="1440" w:left="170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before="60" w:after="0" w:line="240" w:lineRule="auto"/>
    </w:pPr>
    <w:r>
      <w:rPr>
        <w:rFonts w:ascii="Times New Roman" w:hAnsi="Times New Roman"/>
        <w:sz w:val="14"/>
        <w:color w:val="777777"/>
      </w:rPr>
      <w:t>Sala Situacional El Gato Briceño • Maturín, Estado Monagas</w:t>
    </w:r>
  </w:p>
</w:ftr>
</file>

<file path=word/footer_first.xml><?xml version="1.0" encoding="utf-8"?>
<w:ftr xmlns:w="http://schemas.openxmlformats.org/wordprocessingml/2006/main">
  <w:p>
    <w:pPr>
      <w:jc w:val="center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8260" w:type="dxa"/>
      <w:jc w:val="center"/>
      <w:tblBorders>
        <w:top w:val="none"/>
        <w:left w:val="none"/>
        <w:bottom w:val="single" w:sz="6" w:space="0" w:color="D1D5DB"/>
        <w:right w:val="none"/>
        <w:insideH w:val="none"/>
        <w:insideV w:val="none"/>
      </w:tblBorders>
      <w:tblCellMar>
        <w:top w:w="0" w:type="dxa"/>
        <w:left w:w="0" w:type="dxa"/>
        <w:bottom w:w="60" w:type="dxa"/>
        <w:right w:w="0" w:type="dxa"/>
      </w:tblCellMar>
    </w:tblPr>
    <w:tblGrid>
      <w:gridCol w:w="700"/>
      <w:gridCol w:w="5860"/>
      <w:gridCol w:w="1700"/>
    </w:tblGrid>
    <w:tr>
      <w:tc>
        <w:tcPr>
          <w:tcW w:w="700" w:type="dxa"/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380000" cy="370000"/>
                <wp:docPr id="101" name="Logo Header"/>
                <a:graphic>
                  <a:graphicData uri="http://schemas.openxmlformats.org/drawingml/2006/picture">
                    <pic:pic>
                      <pic:nvPicPr>
                        <pic:cNvPr id="101" name="logo.png"/>
                        <pic:cNvPicPr/>
                      </pic:nvPicPr>
                      <pic:blipFill>
                        <a:blip r:embed="rIdHeader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0000" cy="37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60" w:type="dxa"/>
          <w:vAlign w:val="center"/>
        </w:tcPr>
        <w:p>
          <w:pPr>
            <w:spacing w:before="0" w:after="0" w:line="200" w:lineRule="auto"/>
            <w:jc w:val="center"/>
          </w:pPr>
          <w:r>
            <w:rPr>
              <w:rFonts w:ascii="Times New Roman" w:hAnsi="Times New Roman"/>
              <w:b/>
              <w:sz w:val="15"/>
              <w:szCs w:val="15"/>
              <w:color w:val="000000"/>
            </w:rPr>
            <w:t>MOVIMIENTO INDEPENDIENTE GANAMOS TODOS (MIGATO)</w:t>
          </w:r>
        </w:p>
        <w:p>
          <w:pPr>
            <w:spacing w:before="0" w:after="0" w:line="200" w:lineRule="auto"/>
            <w:jc w:val="center"/>
          </w:pPr>
          <w:r>
            <w:rPr>
              <w:rFonts w:ascii="Times New Roman" w:hAnsi="Times New Roman"/>
              <w:sz w:val="13"/>
              <w:szCs w:val="13"/>
              <w:color w:val="444444"/>
            </w:rPr>
            <w:t>EQUIPO TÉCNICO REGIONAL DE INFORMÁTICA Y SISTEMAS • ESTADO MONAGAS</w:t>
          </w:r>
        </w:p>
      </w:tc>
      <w:tc>
        <w:tcPr>
          <w:tcW w:w="1700" w:type="dxa"/>
          <w:vAlign w:val="center"/>
        </w:tcPr>
        <w:p>
          <w:pPr>
            <w:spacing w:before="0" w:after="0" w:line="240" w:lineRule="auto"/>
            <w:jc w:val="right"/>
          </w:pPr>
          <w:r>
            <w:rPr>
              <w:rFonts w:ascii="Times New Roman" w:hAnsi="Times New Roman"/>
              <w:sz w:val="15"/>
              <w:szCs w:val="15"/>
              <w:color w:val="444444"/>
            </w:rPr>
            <w:t>Página </w:t>
          </w:r>
          <w:fldSimple w:instr="PAGE"/>
          <w:r>
            <w:rPr>
              <w:rFonts w:ascii="Times New Roman" w:hAnsi="Times New Roman"/>
              <w:sz w:val="15"/>
              <w:szCs w:val="15"/>
              <w:color w:val="444444"/>
            </w:rPr>
            <w:t> de </w:t>
          </w:r>
          <w:fldSimple w:instr="NUMPAGES"/>
        </w:p>
      </w:tc>
    </w:tr>
  </w:tbl>
</w:hdr>
</file>

<file path=word/header_first.xml><?xml version="1.0" encoding="utf-8"?>
<w:hdr xmlns:w="http://schemas.openxmlformats.org/wordprocessingml/2006/main">
  <w:p>
    <w:pPr>
      <w:jc w:val="center"/>
    </w:pP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3"/>
        <w:szCs w:val="23"/>
        <w:color w:val="000000"/>
      </w:rPr>
    </w:rPrDefault>
    <w:pPrDefault>
      <w:pPr>
        <w:spacing w:line="280" w:lineRule="auto" w:before="0" w:after="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HeaderFirst" Type="http://schemas.openxmlformats.org/officeDocument/2006/relationships/header" Target="header_first.xml"/>
  <Relationship Id="rIdFooterFirst" Type="http://schemas.openxmlformats.org/officeDocument/2006/relationships/footer" Target="footer_first.xml"/>
  <Relationship Id="rIdLogo" Type="http://schemas.openxmlformats.org/officeDocument/2006/relationships/image" Target="media/logo.png"/>
</Relationships>
</file>

<file path=word/_rels/header1.xml.rels><?xml version="1.0" encoding="UTF-8" standalone="yes"?>
<Relationships xmlns="http://schemas.openxmlformats.org/package/2006/relationships">
  <Relationship Id="rIdHeaderLogo" Type="http://schemas.openxmlformats.org/officeDocument/2006/relationships/image" Target="media/logo.png"/>
</Relationships>
</file>