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_first.xml" ContentType="application/vnd.openxmlformats-officedocument.wordprocessingml.header+xml"/>
  <Override PartName="/word/footer1.xml" ContentType="application/vnd.openxmlformats-officedocument.wordprocessingml.footer+xml"/>
  <Override PartName="/word/footer_first.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jc w:val="center"/>
        <w:spacing w:before="120" w:after="40"/>
      </w:pPr>
      <w:r>
        <w:rPr>
          <w:b/>
          <w:sz w:val="24"/>
          <w:color w:val="0F172A"/>
        </w:rPr>
        <w:t>REPÚBLICA BOLIVARIANA DE VENEZUELA • ESTADO MONAGAS</w:t>
      </w:r>
    </w:p>
    <w:p>
      <w:pPr>
        <w:jc w:val="center"/>
        <w:spacing w:after="40"/>
      </w:pPr>
      <w:r>
        <w:rPr>
          <w:b/>
          <w:sz w:val="22"/>
          <w:color w:val="0284C7"/>
        </w:rPr>
        <w:t>MOVIMIENTO INDEPENDIENTE GANAMOS TODOS (MIGATO)</w:t>
      </w:r>
    </w:p>
    <w:p>
      <w:pPr>
        <w:jc w:val="center"/>
        <w:spacing w:after="200"/>
      </w:pPr>
      <w:r>
        <w:rPr>
          <w:b/>
          <w:sz w:val="20"/>
          <w:color w:val="475569"/>
        </w:rPr>
        <w:t>EQUIPO TÉCNICO DE SISTEMAS Y ARQUITECTURA DIGITAL</w:t>
      </w:r>
    </w:p>
    <w:p>
      <w:pPr>
        <w:jc w:val="center"/>
        <w:spacing w:before="140" w:after="200"/>
      </w:pPr>
      <w:r>
        <w:drawing>
          <wp:inline xmlns:wp="http://schemas.openxmlformats.org/drawingml/2006/wordprocessingDrawing" distT="0" distB="0" distL="0" distR="0">
            <wp:extent cx="1350000" cy="1350000"/>
            <wp:docPr id="1" name="Logo MIGATO"/>
            <a:graphic xmlns:a="http://schemas.openxmlformats.org/drawingml/2006/main">
              <a:graphicData uri="http://schemas.openxmlformats.org/drawingml/2006/picture">
                <pic:pic xmlns:pic="http://schemas.openxmlformats.org/drawingml/2006/picture">
                  <pic:nvPicPr>
                    <pic:cNvPr id="0" name="Logo"/>
                    <pic:cNvPicPr/>
                  </pic:nvPicPr>
                  <pic:blipFill>
                    <a:blip xmlns:r="http://schemas.openxmlformats.org/officeDocument/2006/relationships" r:embed="rIdLogo"/>
                    <a:stretch>
                      <a:fillRect/>
                    </a:stretch>
                  </pic:blipFill>
                  <pic:spPr>
                    <a:xfrm>
                      <a:off x="0" y="0"/>
                      <a:ext cx="1350000" cy="1350000"/>
                    </a:xfrm>
                    <a:prstGeom prst="rect">
                      <a:avLst/>
                    </a:prstGeom>
                  </pic:spPr>
                </pic:pic>
              </a:graphicData>
            </a:graphic>
          </wp:inline>
        </w:drawing>
      </w:r>
    </w:p>
    <w:p>
      <w:pPr>
        <w:jc w:val="center"/>
        <w:spacing w:before="180" w:after="80"/>
      </w:pPr>
      <w:r>
        <w:rPr>
          <w:b/>
          <w:sz w:val="30"/>
          <w:color w:val="0F172A"/>
        </w:rPr>
        <w:t>INFORME TÉCNICO Y PROPUESTA DE FACTIBILIDAD: ARQUITECTURA DE GESTIÓN TERRITORIAL, SEGURIDAD DE LA INFORMACIÓN Y PRESUPUESTO OPERATIVO</w:t>
      </w:r>
    </w:p>
    <w:p>
      <w:pPr>
        <w:jc w:val="center"/>
        <w:spacing w:after="260"/>
      </w:pPr>
      <w:r>
        <w:rPr>
          <w:i/>
          <w:sz w:val="23"/>
          <w:color w:val="0284C7"/>
        </w:rPr>
        <w:t>Evaluación Integral de los Cinco Módulos de Control, Servidor VPS Privado y Plan de Despliegue Tecnológico</w:t>
      </w:r>
    </w:p>
    <w:p>
      <w:pPr>
        <w:jc w:val="center"/>
        <w:spacing w:before="380" w:after="30"/>
      </w:pPr>
      <w:r>
        <w:rPr>
          <w:b/>
          <w:sz w:val="22"/>
          <w:color w:val="334155"/>
        </w:rPr>
        <w:t>Presentado a la Dirección General del Movimiento Independiente Ganamos Todos</w:t>
      </w:r>
    </w:p>
    <w:p>
      <w:pPr>
        <w:jc w:val="center"/>
        <w:spacing w:after="260"/>
      </w:pPr>
      <w:r>
        <w:rPr>
          <w:sz w:val="20"/>
          <w:color w:val="64748B"/>
        </w:rPr>
        <w:t>Maturín, Estado Monagas • Septiembre de 2026</w:t>
      </w:r>
    </w:p>
    <w:p>
      <w:r>
        <w:br w:type="page"/>
      </w:r>
    </w:p>
    <w:p>
      <w:pPr>
        <w:pStyle w:val="Heading1"/>
      </w:pPr>
      <w:r>
        <w:t>RESUMEN GENERAL INSTITUCIONAL</w:t>
      </w:r>
    </w:p>
    <w:p>
      <w:pPr>
        <w:jc w:val="both"/>
        <w:spacing w:line="360" w:after="140"/>
      </w:pPr>
      <w:r>
        <w:rPr>
          <w:sz w:val="24"/>
          <w:color w:val="1E293B"/>
        </w:rPr>
        <w:t>El presente informe ha sido elaborado por el Equipo Técnico de Sistemas y Desarrollo de la organización para someter a consideración de la Dirección General del Movimiento Independiente Ganamos Todos (MIGATO) la evaluación técnico-operativa y el estudio de factibilidad de la Plataforma Territorial MIGATO. Dicha herramienta constituye una solución tecnológica integral diseñada para otorgar a la estructura de conducción un control riguroso, fidedigno y en tiempo real de la información comunitaria y electoral en los 13 municipios y 44 parroquias del Estado Monagas, superando de manera definitiva la improvisación, el extravío de datos y las vulnerabilidades de seguridad asociadas a los canales de mensajería informal.</w:t>
      </w:r>
    </w:p>
    <w:p>
      <w:pPr>
        <w:jc w:val="both"/>
        <w:spacing w:line="360" w:after="140"/>
      </w:pPr>
      <w:r>
        <w:rPr>
          <w:sz w:val="24"/>
          <w:color w:val="1E293B"/>
        </w:rPr>
        <w:t>Frente a la degradación sostenida de los servicios públicos en la entidad y los esquemas centralizados de control social, este sistema articula cinco componentes operativos complementarios: Despacho Parroquial Directo por Token Seguro, Censo Comunitario con Protocolo de Privacidad y Cero Residuos en Dispositivo, Acompañamiento y Resguardo del Padrón Electoral con Registro y Archivo de Actas Oficiales, Cartografía Tridimensional de Infraestructura con Filtro de Focalización Territorial, y Diagnóstico Asistencial de la Red de Salud Regional.</w:t>
      </w:r>
    </w:p>
    <w:p>
      <w:pPr>
        <w:jc w:val="both"/>
        <w:spacing w:line="360" w:after="140"/>
      </w:pPr>
      <w:r>
        <w:rPr>
          <w:sz w:val="24"/>
          <w:color w:val="1E293B"/>
        </w:rPr>
        <w:t>Para garantizar la estabilidad, la velocidad y la protección absoluta de las bases de datos de la organización, el equipo técnico presenta la solicitud de un presupuesto mínimo de infraestructura cloud de aproximadamente $24.50 USD mensuales ($294.00 USD anuales). Este monto está destinado exclusivamente a la contratación de un Servidor Virtual Privado (VPS) dedicado, un dominio web formal y un certificado de cifrado digital SSL/TLS de 256 bits, garantizando soberanía operativa y capacidad para absorber altos volúmenes de usuarios concurrentes sin interrupciones.</w:t>
      </w:r>
    </w:p>
    <w:p>
      <w:pPr>
        <w:pStyle w:val="Heading1"/>
      </w:pPr>
      <w:r>
        <w:t>CAPÍTULO I: MARCO ESTRATÉGICO Y MODERNIZACIÓN DE LA GESTIÓN</w:t>
      </w:r>
    </w:p>
    <w:p>
      <w:pPr>
        <w:pStyle w:val="Heading2"/>
      </w:pPr>
      <w:r>
        <w:t>1.1. Superación del Burocrático Centralismo y Eficiencia Institucional</w:t>
      </w:r>
    </w:p>
    <w:p>
      <w:pPr>
        <w:jc w:val="both"/>
        <w:spacing w:line="360" w:after="140"/>
      </w:pPr>
      <w:r>
        <w:rPr>
          <w:sz w:val="24"/>
          <w:color w:val="1E293B"/>
        </w:rPr>
        <w:t>Durante años, la administración de los servicios y la gestión comunitaria en el Estado Monagas han padecido un esquema burocrático ineficiente que ha derivado en la precarización generalizada de la calidad de vida de los monaguenses. Hospitales y ambulatorios sin respaldo eléctrico ni agua corriente, comunidades completas con fallas graves de transformadores y redes viales deterioradas son el síntoma directo de una gestión que carece de métricas objetivas y de voluntad técnica.</w:t>
      </w:r>
    </w:p>
    <w:p>
      <w:pPr>
        <w:jc w:val="both"/>
        <w:spacing w:line="360" w:after="140"/>
      </w:pPr>
      <w:r>
        <w:rPr>
          <w:sz w:val="24"/>
          <w:color w:val="1E293B"/>
        </w:rPr>
        <w:t>Como alternativa política de oposición organizada, el Movimiento Independiente Ganamos Todos (MIGATO) promueve una visión basada en la competencia técnica, la transparencia administrativa, el orden y la modernización de los procesos. La plataforma desarrollada por el equipo de ingeniería responde al compromiso de demostrar que Monagas puede y debe ser gestionada con estándares corporativos de primer mundo, donde cada decisión pública esté respaldada por indicadores auditables, modelos georreferenciados y datos reales de la población.</w:t>
      </w:r>
    </w:p>
    <w:p>
      <w:pPr>
        <w:pStyle w:val="Heading2"/>
      </w:pPr>
      <w:r>
        <w:t>1.2. Protección de la Información Territorial y Privacidad de la Base</w:t>
      </w:r>
    </w:p>
    <w:p>
      <w:pPr>
        <w:jc w:val="both"/>
        <w:spacing w:line="360" w:after="140"/>
      </w:pPr>
      <w:r>
        <w:rPr>
          <w:sz w:val="24"/>
          <w:color w:val="1E293B"/>
        </w:rPr>
        <w:t>En el contexto sociopolítico actual, la salvaguarda de la información organizativa es una prioridad institucional. El trabajo de los coordinadores parroquiales, los activistas de campo y los testigos electorales requiere de herramientas digitales que aseguren la compartimentación de responsabilidades y eviten la exposición indebida de datos frente a inspecciones arbitrarias o revisiones no autorizadas de dispositivos móviles en la vía pública.</w:t>
      </w:r>
    </w:p>
    <w:p>
      <w:pPr>
        <w:jc w:val="both"/>
        <w:spacing w:line="360" w:after="140"/>
      </w:pPr>
      <w:r>
        <w:rPr>
          <w:sz w:val="24"/>
          <w:color w:val="1E293B"/>
        </w:rPr>
        <w:t>Por tales motivos, el diseño arquitectónico de la plataforma prioriza la seguridad por defecto: disocia los accesos, encripta el tráfico de extremo a extremo y suprime cualquier almacenamiento de datos sensibles en la memoria local de los teléfonos, brindando tranquilidad absoluta al personal operativo en el terreno.</w:t>
      </w:r>
    </w:p>
    <w:p>
      <w:pPr>
        <w:pStyle w:val="Heading1"/>
      </w:pPr>
      <w:r>
        <w:t>CAPÍTULO II: ESPECIFICACIONES TÉCNICAS DE LOS CINCO MÓDULOS DE GESTIÓN</w:t>
      </w:r>
    </w:p>
    <w:p>
      <w:pPr>
        <w:pStyle w:val="Heading2"/>
      </w:pPr>
      <w:r>
        <w:t>2.1. Módulo 1: Despacho Celular Seguro y Coordinación Parroquial (/despacho/)</w:t>
      </w:r>
    </w:p>
    <w:p>
      <w:pPr>
        <w:jc w:val="both"/>
        <w:spacing w:line="360" w:after="140"/>
      </w:pPr>
      <w:r>
        <w:rPr>
          <w:sz w:val="24"/>
          <w:color w:val="1E293B"/>
        </w:rPr>
        <w:t>Este módulo centraliza y ordena la comunicación de la Sala Situacional con las 44 parroquias del Estado Monagas mediante una estructura radial controlada, resolviendo la dispersión propia de los grupos masivos de mensajería:</w:t>
      </w:r>
    </w:p>
    <w:p>
      <w:pPr>
        <w:jc w:val="both"/>
        <w:spacing w:line="360" w:after="140"/>
      </w:pPr>
      <w:r>
        <w:rPr>
          <w:b/>
          <w:sz w:val="24"/>
          <w:color w:val="0284C7"/>
        </w:rPr>
        <w:t xml:space="preserve">• Acceso Instantáneo por Token Web: </w:t>
      </w:r>
      <w:r>
        <w:rPr>
          <w:sz w:val="24"/>
          <w:color w:val="1E293B"/>
        </w:rPr>
        <w:t>Desde la consola central, el operador genera un enlace web cifrado con un identificador temporal único directo al coordinador parroquial autorizado. El coordinador ingresa desde el navegador de su teléfono celular sin requerir la memorización de contraseñas alfanuméricas complejas ni instalar aplicaciones adicionales.</w:t>
      </w:r>
    </w:p>
    <w:p>
      <w:pPr>
        <w:jc w:val="both"/>
        <w:spacing w:line="360" w:after="140"/>
      </w:pPr>
      <w:r>
        <w:rPr>
          <w:b/>
          <w:sz w:val="24"/>
          <w:color w:val="0284C7"/>
        </w:rPr>
        <w:t xml:space="preserve">• Compartimentación Territorial: </w:t>
      </w:r>
      <w:r>
        <w:rPr>
          <w:sz w:val="24"/>
          <w:color w:val="1E293B"/>
        </w:rPr>
        <w:t>Cada enlace opera exclusivamente dentro de los límites de su parroquia, impidiendo la visualización transversal de incidencias o diagnósticos de otras áreas geográficas.</w:t>
      </w:r>
    </w:p>
    <w:p>
      <w:pPr>
        <w:jc w:val="both"/>
        <w:spacing w:line="360" w:after="140"/>
      </w:pPr>
      <w:r>
        <w:rPr>
          <w:b/>
          <w:sz w:val="24"/>
          <w:color w:val="0284C7"/>
        </w:rPr>
        <w:t xml:space="preserve">• Revocación Rápida de Accesos: </w:t>
      </w:r>
      <w:r>
        <w:rPr>
          <w:sz w:val="24"/>
          <w:color w:val="1E293B"/>
        </w:rPr>
        <w:t>En caso de relevo o reasignación de un coordinador, la Sala de Mando desactiva la credencial digital de forma inmediata, emitiendo una nueva para el responsable entrante sin interrumpir el funcionamiento del servidor central.</w:t>
      </w:r>
    </w:p>
    <w:p>
      <w:pPr>
        <w:pStyle w:val="Heading2"/>
      </w:pPr>
      <w:r>
        <w:t>2.2. Módulo 2: Censo Territorial y Protocolo de Privacidad "Buzón Ciego" (/carga/)</w:t>
      </w:r>
    </w:p>
    <w:p>
      <w:pPr>
        <w:jc w:val="both"/>
        <w:spacing w:line="360" w:after="140"/>
      </w:pPr>
      <w:r>
        <w:rPr>
          <w:sz w:val="24"/>
          <w:color w:val="1E293B"/>
        </w:rPr>
        <w:t>Herramienta ágil orientada al diagnóstico cuantitativo de necesidades comunitarias y estimación organizativa en sectores urbanos y rurales:</w:t>
      </w:r>
    </w:p>
    <w:p>
      <w:pPr>
        <w:jc w:val="both"/>
        <w:spacing w:line="360" w:after="140"/>
      </w:pPr>
      <w:r>
        <w:rPr>
          <w:b/>
          <w:sz w:val="24"/>
          <w:color w:val="0284C7"/>
        </w:rPr>
        <w:t xml:space="preserve">• Métricas Cuantitativas Estandarizadas: </w:t>
      </w:r>
      <w:r>
        <w:rPr>
          <w:sz w:val="24"/>
          <w:color w:val="1E293B"/>
        </w:rPr>
        <w:t>Registra variables agregadas como número de viviendas, familias, población general y estimación de fuerza comunitaria, junto con el reporte de fallas críticas de servicios (electricidad, agua, vialidad).</w:t>
      </w:r>
    </w:p>
    <w:p>
      <w:pPr>
        <w:jc w:val="both"/>
        <w:spacing w:line="360" w:after="140"/>
      </w:pPr>
      <w:r>
        <w:rPr>
          <w:b/>
          <w:sz w:val="24"/>
          <w:color w:val="0284C7"/>
        </w:rPr>
        <w:t xml:space="preserve">• Protección de Datos Ciudadanos: </w:t>
      </w:r>
      <w:r>
        <w:rPr>
          <w:sz w:val="24"/>
          <w:color w:val="1E293B"/>
        </w:rPr>
        <w:t>Por principio ético e institucional, el sistema no almacena nombres, números de cédula ni teléfonos personales de los vecinos censados, salvaguardando la confidencialidad de las comunidades.</w:t>
      </w:r>
    </w:p>
    <w:p>
      <w:pPr>
        <w:jc w:val="both"/>
        <w:spacing w:line="360" w:after="140"/>
      </w:pPr>
      <w:r>
        <w:rPr>
          <w:b/>
          <w:sz w:val="24"/>
          <w:color w:val="0284C7"/>
        </w:rPr>
        <w:t xml:space="preserve">• Protocolo de Cero Residuos en Dispositivo (Zero-Byte Device Storage): </w:t>
      </w:r>
      <w:r>
        <w:rPr>
          <w:sz w:val="24"/>
          <w:color w:val="1E293B"/>
        </w:rPr>
        <w:t>Al presionar el botón de envío, los datos se transmiten directamente al servidor central bajo cifrado HTTPS y el formulario en pantalla se restablece por completo. En el teléfono no se almacena caché, historial ni borradores, garantizando que el dispositivo quede totalmente limpio ante cualquier revisión externa.</w:t>
      </w:r>
    </w:p>
    <w:p>
      <w:pPr>
        <w:pStyle w:val="Heading2"/>
      </w:pPr>
      <w:r>
        <w:t>2.3. Módulo 3: Padrón Electoral, Centros Electorales y Resguardo de Actas (/centros-maturin/)</w:t>
      </w:r>
    </w:p>
    <w:p>
      <w:pPr>
        <w:jc w:val="both"/>
        <w:spacing w:line="360" w:after="140"/>
      </w:pPr>
      <w:r>
        <w:rPr>
          <w:sz w:val="24"/>
          <w:color w:val="1E293B"/>
        </w:rPr>
        <w:t>Diseñado para el seguimiento logístico, caracterización organizativa y archivo documental riguroso en los eventos comiciales del Municipio Maturín:</w:t>
      </w:r>
    </w:p>
    <w:p>
      <w:pPr>
        <w:jc w:val="both"/>
        <w:spacing w:line="360" w:after="140"/>
      </w:pPr>
      <w:r>
        <w:rPr>
          <w:b/>
          <w:sz w:val="24"/>
          <w:color w:val="0284C7"/>
        </w:rPr>
        <w:t xml:space="preserve">• Catálogo Geoespacial de Centros: </w:t>
      </w:r>
      <w:r>
        <w:rPr>
          <w:sz w:val="24"/>
          <w:color w:val="1E293B"/>
        </w:rPr>
        <w:t>Integra la totalidad de los 175 centros de votación y 361 mesas electorales del Municipio Maturín, permitiendo priorizar los 40 centros que concentran más del 60% del padrón electoral.</w:t>
      </w:r>
    </w:p>
    <w:p>
      <w:pPr>
        <w:jc w:val="both"/>
        <w:spacing w:line="360" w:after="140"/>
      </w:pPr>
      <w:r>
        <w:rPr>
          <w:b/>
          <w:sz w:val="24"/>
          <w:color w:val="0284C7"/>
        </w:rPr>
        <w:t xml:space="preserve">• Segmentación de Acompañamiento Ciudadano: </w:t>
      </w:r>
      <w:r>
        <w:rPr>
          <w:sz w:val="24"/>
          <w:color w:val="1E293B"/>
        </w:rPr>
        <w:t>Permite ordenar la labor cívica y comunitaria identificando sectores de participación temprana, electores que requieren acompañamiento logístico y nuevos votantes jóvenes.</w:t>
      </w:r>
    </w:p>
    <w:p>
      <w:pPr>
        <w:jc w:val="both"/>
        <w:spacing w:line="360" w:after="140"/>
      </w:pPr>
      <w:r>
        <w:rPr>
          <w:b/>
          <w:sz w:val="24"/>
          <w:color w:val="0284C7"/>
        </w:rPr>
        <w:t xml:space="preserve">• Registro Técnico y Resguardo de Evidencia Documental: </w:t>
      </w:r>
      <w:r>
        <w:rPr>
          <w:sz w:val="24"/>
          <w:color w:val="1E293B"/>
        </w:rPr>
        <w:t>El sistema permite cargar los resultados numéricos emitidos por mesa, registrar al testigo responsable y almacenar la fotografía digital de respaldo tanto del acta física como del comprobante emitido por el sistema electoral oficial (incluyendo la captura nítida del código QR impreso en el acta). De esta forma, la organización cuenta con un repositorio fidedigno, seguro y auditable para cotejo institucional, sin intervenir ni suplantar las atribuciones o sistemas del Consejo Nacional Electoral.</w:t>
      </w:r>
    </w:p>
    <w:p>
      <w:pPr>
        <w:pStyle w:val="Heading2"/>
      </w:pPr>
      <w:r>
        <w:t>2.4. Módulo 4: Cartografía Tridimensional de Infraestructura y Logística (/earth-monagas/)</w:t>
      </w:r>
    </w:p>
    <w:p>
      <w:pPr>
        <w:jc w:val="both"/>
        <w:spacing w:line="360" w:after="140"/>
      </w:pPr>
      <w:r>
        <w:rPr>
          <w:sz w:val="24"/>
          <w:color w:val="1E293B"/>
        </w:rPr>
        <w:t>Consola geoespacial tridimensional interactiva pensada para el análisis territorial y la planificación táctica de la dirección general:</w:t>
      </w:r>
    </w:p>
    <w:p>
      <w:pPr>
        <w:jc w:val="both"/>
        <w:spacing w:line="360" w:after="140"/>
      </w:pPr>
      <w:r>
        <w:rPr>
          <w:b/>
          <w:sz w:val="24"/>
          <w:color w:val="0284C7"/>
        </w:rPr>
        <w:t xml:space="preserve">• Visualización de Infraestructura Territorial: </w:t>
      </w:r>
      <w:r>
        <w:rPr>
          <w:sz w:val="24"/>
          <w:color w:val="1E293B"/>
        </w:rPr>
        <w:t>Representa elevaciones topográficas, vías de acceso, distribución de comunidades y ubicación geográfica de transformadores, colectores y centros de atención.</w:t>
      </w:r>
    </w:p>
    <w:p>
      <w:pPr>
        <w:jc w:val="both"/>
        <w:spacing w:line="360" w:after="140"/>
      </w:pPr>
      <w:r>
        <w:rPr>
          <w:b/>
          <w:sz w:val="24"/>
          <w:color w:val="0284C7"/>
        </w:rPr>
        <w:t xml:space="preserve">• Herramienta de Focalización Territorial: </w:t>
      </w:r>
      <w:r>
        <w:rPr>
          <w:sz w:val="24"/>
          <w:color w:val="1E293B"/>
        </w:rPr>
        <w:t>Integra un filtro visual que aplica una atenuación suave sobre las áreas periféricas para resaltar con nitidez la parroquia o sector analizado, reduciendo la saturación visual y permitiendo evaluar prioridades de forma clara durante las sesiones de trabajo.</w:t>
      </w:r>
    </w:p>
    <w:p>
      <w:pPr>
        <w:jc w:val="both"/>
        <w:spacing w:line="360" w:after="140"/>
      </w:pPr>
      <w:r>
        <w:rPr>
          <w:b/>
          <w:sz w:val="24"/>
          <w:color w:val="0284C7"/>
        </w:rPr>
        <w:t xml:space="preserve">• Planificación de Rutas y Despliegue: </w:t>
      </w:r>
      <w:r>
        <w:rPr>
          <w:sz w:val="24"/>
          <w:color w:val="1E293B"/>
        </w:rPr>
        <w:t>Facilita el cálculo de distancias reales, tiempos de traslado de los equipos de apoyo y análisis de conectividad vial para jornadas de campo.</w:t>
      </w:r>
    </w:p>
    <w:p>
      <w:pPr>
        <w:pStyle w:val="Heading2"/>
      </w:pPr>
      <w:r>
        <w:t>2.5. Módulo 5: Diagnóstico y Auditoría de la Red Asistencial de Salud (/salud-monagas/)</w:t>
      </w:r>
    </w:p>
    <w:p>
      <w:pPr>
        <w:jc w:val="both"/>
        <w:spacing w:line="360" w:after="140"/>
      </w:pPr>
      <w:r>
        <w:rPr>
          <w:sz w:val="24"/>
          <w:color w:val="1E293B"/>
        </w:rPr>
        <w:t>Módulo enfocado en la supervisión técnica y estado físico de la red de salud regional en Monagas, abarcando 84 centros asistenciales entre hospitales universitarios, ambulatorios urbanos, rurales y centros integrales:</w:t>
      </w:r>
    </w:p>
    <w:p>
      <w:pPr>
        <w:jc w:val="both"/>
        <w:spacing w:line="360" w:after="140"/>
      </w:pPr>
      <w:r>
        <w:rPr>
          <w:b/>
          <w:sz w:val="24"/>
          <w:color w:val="0284C7"/>
        </w:rPr>
        <w:t xml:space="preserve">• Monitoreo de Servicios Críticos: </w:t>
      </w:r>
      <w:r>
        <w:rPr>
          <w:sz w:val="24"/>
          <w:color w:val="1E293B"/>
        </w:rPr>
        <w:t>Evalúa la operatividad de plantas eléctricas de emergencia, continuidad de suministro de agua por tubería, disponibilidad de gases medicinales y funcionamiento de áreas quirúrgicas o salas de parto.</w:t>
      </w:r>
    </w:p>
    <w:p>
      <w:pPr>
        <w:jc w:val="both"/>
        <w:spacing w:line="360" w:after="140"/>
      </w:pPr>
      <w:r>
        <w:rPr>
          <w:b/>
          <w:sz w:val="24"/>
          <w:color w:val="0284C7"/>
        </w:rPr>
        <w:t xml:space="preserve">• Red de Remisión y Referencia: </w:t>
      </w:r>
      <w:r>
        <w:rPr>
          <w:sz w:val="24"/>
          <w:color w:val="1E293B"/>
        </w:rPr>
        <w:t>Registra la ruta de traslado de pacientes hacia centros de mayor resolución técnica cuando los centros primarios se encuentran limitados en su capacidad operativa.</w:t>
      </w:r>
    </w:p>
    <w:p>
      <w:pPr>
        <w:jc w:val="both"/>
        <w:spacing w:line="360" w:after="140"/>
      </w:pPr>
      <w:r>
        <w:rPr>
          <w:b/>
          <w:sz w:val="24"/>
          <w:color w:val="0284C7"/>
        </w:rPr>
        <w:t xml:space="preserve">• Sustento Técnico para Propuestas de Gobierno: </w:t>
      </w:r>
      <w:r>
        <w:rPr>
          <w:sz w:val="24"/>
          <w:color w:val="1E293B"/>
        </w:rPr>
        <w:t>Consolida una base de datos fehaciente que permite fundamentar ante la opinión pública planes de recuperación hospitalaria basados en diagnósticos reales de ingeniería sanitaria.</w:t>
      </w:r>
    </w:p>
    <w:p>
      <w:pPr>
        <w:pStyle w:val="Heading1"/>
      </w:pPr>
      <w:r>
        <w:t>CAPÍTULO III: INFRAESTRUCTURA DE SERVIDORES, SEGURIDAD Y ESTABILIDAD</w:t>
      </w:r>
    </w:p>
    <w:p>
      <w:pPr>
        <w:pStyle w:val="Heading2"/>
      </w:pPr>
      <w:r>
        <w:t>3.1. Necesidad Imperativa de un Servidor Cloud VPS Privado</w:t>
      </w:r>
    </w:p>
    <w:p>
      <w:pPr>
        <w:jc w:val="both"/>
        <w:spacing w:line="360" w:after="140"/>
      </w:pPr>
      <w:r>
        <w:rPr>
          <w:sz w:val="24"/>
          <w:color w:val="1E293B"/>
        </w:rPr>
        <w:t>El despliegue de una plataforma estratégica no puede sustentarse sobre servidores gratuitos o alojamientos web compartidos básicos. Dicho tipo de servicios presenta graves inconvenientes: limitaciones de ancho de banda, suspensiones imprevistas sin previo aviso, falta de aislamiento de los datos y lentitud extrema ante accesos concurrentes en momentos cruciales.</w:t>
      </w:r>
    </w:p>
    <w:p>
      <w:pPr>
        <w:jc w:val="both"/>
        <w:spacing w:line="360" w:after="140"/>
      </w:pPr>
      <w:r>
        <w:rPr>
          <w:sz w:val="24"/>
          <w:color w:val="1E293B"/>
        </w:rPr>
        <w:t>La contratación de un Servidor Virtual Privado (VPS) dedicado garantiza independencia y control técnico absoluto: recursos de memoria y procesador exclusivos, cortafuegos configurado a la medida de la organización, respaldo automatizado de bases de datos fuera de línea y disponibilidad ininterrumpida las 24 horas del día.</w:t>
      </w:r>
    </w:p>
    <w:p>
      <w:pPr>
        <w:pStyle w:val="Heading2"/>
      </w:pPr>
      <w:r>
        <w:t>3.2. Protocolo de Blindaje Informático y Pruebas de Carga</w:t>
      </w:r>
    </w:p>
    <w:p>
      <w:pPr>
        <w:jc w:val="both"/>
        <w:spacing w:line="360" w:after="140"/>
      </w:pPr>
      <w:r>
        <w:rPr>
          <w:sz w:val="24"/>
          <w:color w:val="1E293B"/>
        </w:rPr>
        <w:t>Para asegurar que la plataforma opere con la máxima robustez antes de incorporar de forma masiva a las estructuras de base, el equipo técnico implementará una batería de pruebas de control de calidad y seguridad informática:</w:t>
      </w:r>
    </w:p>
    <w:p>
      <w:pPr>
        <w:jc w:val="both"/>
        <w:spacing w:line="360" w:after="140"/>
      </w:pPr>
      <w:r>
        <w:rPr>
          <w:b/>
          <w:sz w:val="24"/>
          <w:color w:val="0284C7"/>
        </w:rPr>
        <w:t xml:space="preserve">• Auditoría de Vulnerabilidades y Puertos: </w:t>
      </w:r>
      <w:r>
        <w:rPr>
          <w:sz w:val="24"/>
          <w:color w:val="1E293B"/>
        </w:rPr>
        <w:t>Cierre estricto de puertos no esenciales, limitación del acceso al panel de administración únicamente a direcciones IP autorizadas y configuración de reglas de protección contra intentos repetitivos de acceso no autorizado (Fail2ban e iptables).</w:t>
      </w:r>
    </w:p>
    <w:p>
      <w:pPr>
        <w:jc w:val="both"/>
        <w:spacing w:line="360" w:after="140"/>
      </w:pPr>
      <w:r>
        <w:rPr>
          <w:b/>
          <w:sz w:val="24"/>
          <w:color w:val="0284C7"/>
        </w:rPr>
        <w:t xml:space="preserve">• Cifrado Integral en Tránsito: </w:t>
      </w:r>
      <w:r>
        <w:rPr>
          <w:sz w:val="24"/>
          <w:color w:val="1E293B"/>
        </w:rPr>
        <w:t>Implementación de certificados SSL/TLS con encriptación de 256 bits en todos los subdominios de la plataforma, evitando la intercepción de información en redes móviles o públicas.</w:t>
      </w:r>
    </w:p>
    <w:p>
      <w:pPr>
        <w:jc w:val="both"/>
        <w:spacing w:line="360" w:after="140"/>
      </w:pPr>
      <w:r>
        <w:rPr>
          <w:b/>
          <w:sz w:val="24"/>
          <w:color w:val="0284C7"/>
        </w:rPr>
        <w:t xml:space="preserve">• Pruebas de Estrés y Concurrencia: </w:t>
      </w:r>
      <w:r>
        <w:rPr>
          <w:sz w:val="24"/>
          <w:color w:val="1E293B"/>
        </w:rPr>
        <w:t>Simulación de cargas simultáneas de peticiones para garantizar que el servidor mantenga tiempos de respuesta óptimos (menores a 1 segundo) durante jornadas de alta afluencia de reportes en campo.</w:t>
      </w:r>
    </w:p>
    <w:p>
      <w:pPr>
        <w:pStyle w:val="Heading1"/>
      </w:pPr>
      <w:r>
        <w:t>CAPÍTULO IV: ESTUDIO ECONÓMICO Y PRESUPUESTO OPERATIVO</w:t>
      </w:r>
    </w:p>
    <w:p>
      <w:pPr>
        <w:jc w:val="both"/>
        <w:spacing w:line="360" w:after="140"/>
      </w:pPr>
      <w:r>
        <w:rPr>
          <w:sz w:val="24"/>
          <w:color w:val="1E293B"/>
        </w:rPr>
        <w:t>El equipo de ingenieros y desarrolladores ha provisto la arquitectura de software y programación del sistema sin costo de honorarios para la organización. El requerimiento financiero presentado se limita estrictamente al pago directo de la infraestructura en la nube requerida para poner en funcionamiento el servidor y validar las parroquias piloto:</w:t>
      </w:r>
    </w:p>
    <w:tbl>
      <w:tblPr>
        <w:tblW w:w="5000" w:type="pct"/>
        <w:tblBorders>
          <w:top w:val="single" w:sz="8" w:color="0284C7"/>
          <w:bottom w:val="single" w:sz="8" w:color="0284C7"/>
          <w:insideH w:val="single" w:sz="4" w:color="E2E8F0"/>
        </w:tblBorders>
      </w:tblPr>
      <w:tr>
        <w:trPr>
          <w:tblHeader/>
        </w:trPr>
        <w:tc>
          <w:tcPr>
            <w:shd w:val="clear" w:color="auto" w:fill="0F172A"/>
          </w:tcPr>
          <w:p>
            <w:pPr>
              <w:spacing w:before="80" w:after="80"/>
              <w:jc w:val="center"/>
            </w:pPr>
            <w:r>
              <w:rPr>
                <w:b/>
                <w:color w:val="FFFFFF"/>
                <w:sz w:val="20"/>
              </w:rPr>
              <w:t>Componente de Infraestructura</w:t>
            </w:r>
          </w:p>
        </w:tc>
        <w:tc>
          <w:tcPr>
            <w:shd w:val="clear" w:color="auto" w:fill="0F172A"/>
          </w:tcPr>
          <w:p>
            <w:pPr>
              <w:spacing w:before="80" w:after="80"/>
              <w:jc w:val="center"/>
            </w:pPr>
            <w:r>
              <w:rPr>
                <w:b/>
                <w:color w:val="FFFFFF"/>
                <w:sz w:val="20"/>
              </w:rPr>
              <w:t>Especificación Técnica Mínima</w:t>
            </w:r>
          </w:p>
        </w:tc>
        <w:tc>
          <w:tcPr>
            <w:shd w:val="clear" w:color="auto" w:fill="0F172A"/>
          </w:tcPr>
          <w:p>
            <w:pPr>
              <w:spacing w:before="80" w:after="80"/>
              <w:jc w:val="center"/>
            </w:pPr>
            <w:r>
              <w:rPr>
                <w:b/>
                <w:color w:val="FFFFFF"/>
                <w:sz w:val="20"/>
              </w:rPr>
              <w:t>Costo Mensual</w:t>
            </w:r>
          </w:p>
        </w:tc>
        <w:tc>
          <w:tcPr>
            <w:shd w:val="clear" w:color="auto" w:fill="0F172A"/>
          </w:tcPr>
          <w:p>
            <w:pPr>
              <w:spacing w:before="80" w:after="80"/>
              <w:jc w:val="center"/>
            </w:pPr>
            <w:r>
              <w:rPr>
                <w:b/>
                <w:color w:val="FFFFFF"/>
                <w:sz w:val="20"/>
              </w:rPr>
              <w:t>Costo Anual Total</w:t>
            </w:r>
          </w:p>
        </w:tc>
      </w:tr>
      <w:tr>
        <w:tc>
          <w:tcPr>
            <w:shd w:val="clear" w:color="auto" w:fill="FFFFFF"/>
          </w:tcPr>
          <w:p>
            <w:pPr>
              <w:spacing w:before="60" w:after="60"/>
              <w:jc w:val="left"/>
            </w:pPr>
            <w:r>
              <w:rPr>
                <w:color w:val="1E293B"/>
                <w:sz w:val="20"/>
              </w:rPr>
              <w:t>Servidor Cloud VPS Dedicado</w:t>
            </w:r>
          </w:p>
        </w:tc>
        <w:tc>
          <w:tcPr>
            <w:shd w:val="clear" w:color="auto" w:fill="FFFFFF"/>
          </w:tcPr>
          <w:p>
            <w:pPr>
              <w:spacing w:before="60" w:after="60"/>
              <w:jc w:val="left"/>
            </w:pPr>
            <w:r>
              <w:rPr>
                <w:color w:val="1E293B"/>
                <w:sz w:val="20"/>
              </w:rPr>
              <w:t>4 vCPU / 8 GB RAM / 100 GB SSD NVMe / Red 1 Gbps / Protección contra ataques de tráfico</w:t>
            </w:r>
          </w:p>
        </w:tc>
        <w:tc>
          <w:tcPr>
            <w:shd w:val="clear" w:color="auto" w:fill="FFFFFF"/>
          </w:tcPr>
          <w:p>
            <w:pPr>
              <w:spacing w:before="60" w:after="60"/>
              <w:jc w:val="center"/>
            </w:pPr>
            <w:r>
              <w:rPr>
                <w:color w:val="1E293B"/>
                <w:sz w:val="20"/>
              </w:rPr>
              <w:t>$20.00 USD</w:t>
            </w:r>
          </w:p>
        </w:tc>
        <w:tc>
          <w:tcPr>
            <w:shd w:val="clear" w:color="auto" w:fill="FFFFFF"/>
          </w:tcPr>
          <w:p>
            <w:pPr>
              <w:spacing w:before="60" w:after="60"/>
              <w:jc w:val="center"/>
            </w:pPr>
            <w:r>
              <w:rPr>
                <w:color w:val="1E293B"/>
                <w:sz w:val="20"/>
              </w:rPr>
              <w:t>$240.00 USD</w:t>
            </w:r>
          </w:p>
        </w:tc>
      </w:tr>
      <w:tr>
        <w:tc>
          <w:tcPr>
            <w:shd w:val="clear" w:color="auto" w:fill="F8FAFC"/>
          </w:tcPr>
          <w:p>
            <w:pPr>
              <w:spacing w:before="60" w:after="60"/>
              <w:jc w:val="left"/>
            </w:pPr>
            <w:r>
              <w:rPr>
                <w:color w:val="1E293B"/>
                <w:sz w:val="20"/>
              </w:rPr>
              <w:t>Dominio Institucional Oficial</w:t>
            </w:r>
          </w:p>
        </w:tc>
        <w:tc>
          <w:tcPr>
            <w:shd w:val="clear" w:color="auto" w:fill="F8FAFC"/>
          </w:tcPr>
          <w:p>
            <w:pPr>
              <w:spacing w:before="60" w:after="60"/>
              <w:jc w:val="left"/>
            </w:pPr>
            <w:r>
              <w:rPr>
                <w:color w:val="1E293B"/>
                <w:sz w:val="20"/>
              </w:rPr>
              <w:t>Registro anual de dominio web + Certificado SSL Wildcard (HTTPS 256 bits)</w:t>
            </w:r>
          </w:p>
        </w:tc>
        <w:tc>
          <w:tcPr>
            <w:shd w:val="clear" w:color="auto" w:fill="F8FAFC"/>
          </w:tcPr>
          <w:p>
            <w:pPr>
              <w:spacing w:before="60" w:after="60"/>
              <w:jc w:val="center"/>
            </w:pPr>
            <w:r>
              <w:rPr>
                <w:color w:val="1E293B"/>
                <w:sz w:val="20"/>
              </w:rPr>
              <w:t>$1.50 USD</w:t>
            </w:r>
          </w:p>
        </w:tc>
        <w:tc>
          <w:tcPr>
            <w:shd w:val="clear" w:color="auto" w:fill="F8FAFC"/>
          </w:tcPr>
          <w:p>
            <w:pPr>
              <w:spacing w:before="60" w:after="60"/>
              <w:jc w:val="center"/>
            </w:pPr>
            <w:r>
              <w:rPr>
                <w:color w:val="1E293B"/>
                <w:sz w:val="20"/>
              </w:rPr>
              <w:t>$18.00 USD</w:t>
            </w:r>
          </w:p>
        </w:tc>
      </w:tr>
      <w:tr>
        <w:tc>
          <w:tcPr>
            <w:shd w:val="clear" w:color="auto" w:fill="FFFFFF"/>
          </w:tcPr>
          <w:p>
            <w:pPr>
              <w:spacing w:before="60" w:after="60"/>
              <w:jc w:val="left"/>
            </w:pPr>
            <w:r>
              <w:rPr>
                <w:color w:val="1E293B"/>
                <w:sz w:val="20"/>
              </w:rPr>
              <w:t>IP Pública Fija Dedicada</w:t>
            </w:r>
          </w:p>
        </w:tc>
        <w:tc>
          <w:tcPr>
            <w:shd w:val="clear" w:color="auto" w:fill="FFFFFF"/>
          </w:tcPr>
          <w:p>
            <w:pPr>
              <w:spacing w:before="60" w:after="60"/>
              <w:jc w:val="left"/>
            </w:pPr>
            <w:r>
              <w:rPr>
                <w:color w:val="1E293B"/>
                <w:sz w:val="20"/>
              </w:rPr>
              <w:t>Dirección IP estática exclusiva para filtrado seguro de conexiones en consola de mando</w:t>
            </w:r>
          </w:p>
        </w:tc>
        <w:tc>
          <w:tcPr>
            <w:shd w:val="clear" w:color="auto" w:fill="FFFFFF"/>
          </w:tcPr>
          <w:p>
            <w:pPr>
              <w:spacing w:before="60" w:after="60"/>
              <w:jc w:val="center"/>
            </w:pPr>
            <w:r>
              <w:rPr>
                <w:color w:val="1E293B"/>
                <w:sz w:val="20"/>
              </w:rPr>
              <w:t>$3.00 USD</w:t>
            </w:r>
          </w:p>
        </w:tc>
        <w:tc>
          <w:tcPr>
            <w:shd w:val="clear" w:color="auto" w:fill="FFFFFF"/>
          </w:tcPr>
          <w:p>
            <w:pPr>
              <w:spacing w:before="60" w:after="60"/>
              <w:jc w:val="center"/>
            </w:pPr>
            <w:r>
              <w:rPr>
                <w:color w:val="1E293B"/>
                <w:sz w:val="20"/>
              </w:rPr>
              <w:t>$36.00 USD</w:t>
            </w:r>
          </w:p>
        </w:tc>
      </w:tr>
      <w:tr>
        <w:tc>
          <w:tcPr>
            <w:shd w:val="clear" w:color="auto" w:fill="F8FAFC"/>
          </w:tcPr>
          <w:p>
            <w:pPr>
              <w:spacing w:before="60" w:after="60"/>
              <w:jc w:val="left"/>
            </w:pPr>
            <w:r>
              <w:rPr>
                <w:color w:val="1E293B"/>
                <w:sz w:val="20"/>
              </w:rPr>
              <w:t>Software de Servidor y Reglas de Seguridad</w:t>
            </w:r>
          </w:p>
        </w:tc>
        <w:tc>
          <w:tcPr>
            <w:shd w:val="clear" w:color="auto" w:fill="F8FAFC"/>
          </w:tcPr>
          <w:p>
            <w:pPr>
              <w:spacing w:before="60" w:after="60"/>
              <w:jc w:val="left"/>
            </w:pPr>
            <w:r>
              <w:rPr>
                <w:color w:val="1E293B"/>
                <w:sz w:val="20"/>
              </w:rPr>
              <w:t>Entorno Linux Ubuntu Server, Nginx, PostgreSQL, Fail2ban y módulos FOSS de código abierto</w:t>
            </w:r>
          </w:p>
        </w:tc>
        <w:tc>
          <w:tcPr>
            <w:shd w:val="clear" w:color="auto" w:fill="F8FAFC"/>
          </w:tcPr>
          <w:p>
            <w:pPr>
              <w:spacing w:before="60" w:after="60"/>
              <w:jc w:val="center"/>
            </w:pPr>
            <w:r>
              <w:rPr>
                <w:color w:val="1E293B"/>
                <w:sz w:val="20"/>
              </w:rPr>
              <w:t>$0.00 USD</w:t>
            </w:r>
          </w:p>
        </w:tc>
        <w:tc>
          <w:tcPr>
            <w:shd w:val="clear" w:color="auto" w:fill="F8FAFC"/>
          </w:tcPr>
          <w:p>
            <w:pPr>
              <w:spacing w:before="60" w:after="60"/>
              <w:jc w:val="center"/>
            </w:pPr>
            <w:r>
              <w:rPr>
                <w:color w:val="1E293B"/>
                <w:sz w:val="20"/>
              </w:rPr>
              <w:t>$0.00 USD</w:t>
            </w:r>
          </w:p>
        </w:tc>
      </w:tr>
      <w:tr>
        <w:tc>
          <w:tcPr>
            <w:shd w:val="clear" w:color="auto" w:fill="FFFFFF"/>
          </w:tcPr>
          <w:p>
            <w:pPr>
              <w:spacing w:before="60" w:after="60"/>
              <w:jc w:val="left"/>
            </w:pPr>
            <w:r>
              <w:rPr>
                <w:b/>
                <w:color w:val="1E293B"/>
                <w:sz w:val="20"/>
              </w:rPr>
              <w:t>TOTAL MÍNIMO SOLICITADO (FASE 1):</w:t>
            </w:r>
          </w:p>
        </w:tc>
        <w:tc>
          <w:tcPr>
            <w:shd w:val="clear" w:color="auto" w:fill="FFFFFF"/>
          </w:tcPr>
          <w:p>
            <w:pPr>
              <w:spacing w:before="60" w:after="60"/>
              <w:jc w:val="left"/>
            </w:pPr>
            <w:r>
              <w:rPr>
                <w:b/>
                <w:color w:val="1E293B"/>
                <w:sz w:val="20"/>
              </w:rPr>
              <w:t>Infraestructura cloud soberana y certificada para las pruebas piloto</w:t>
            </w:r>
          </w:p>
        </w:tc>
        <w:tc>
          <w:tcPr>
            <w:shd w:val="clear" w:color="auto" w:fill="FFFFFF"/>
          </w:tcPr>
          <w:p>
            <w:pPr>
              <w:spacing w:before="60" w:after="60"/>
              <w:jc w:val="center"/>
            </w:pPr>
            <w:r>
              <w:rPr>
                <w:b/>
                <w:color w:val="0284C7"/>
                <w:sz w:val="20"/>
              </w:rPr>
              <w:t>~$24.50 USD / mes</w:t>
            </w:r>
          </w:p>
        </w:tc>
        <w:tc>
          <w:tcPr>
            <w:shd w:val="clear" w:color="auto" w:fill="FFFFFF"/>
          </w:tcPr>
          <w:p>
            <w:pPr>
              <w:spacing w:before="60" w:after="60"/>
              <w:jc w:val="center"/>
            </w:pPr>
            <w:r>
              <w:rPr>
                <w:b/>
                <w:color w:val="0284C7"/>
                <w:sz w:val="20"/>
              </w:rPr>
              <w:t>$294.00 USD / AÑO</w:t>
            </w:r>
          </w:p>
        </w:tc>
      </w:tr>
    </w:tbl>
    <w:p>
      <w:pPr>
        <w:pStyle w:val="Heading2"/>
      </w:pPr>
      <w:r>
        <w:t>4.1. Planificación Escalonada por Fases</w:t>
      </w:r>
    </w:p>
    <w:p>
      <w:pPr>
        <w:jc w:val="both"/>
        <w:spacing w:line="360" w:after="140"/>
      </w:pPr>
      <w:r>
        <w:rPr>
          <w:b/>
          <w:sz w:val="24"/>
          <w:color w:val="0284C7"/>
        </w:rPr>
        <w:t xml:space="preserve">• Fase 1 (Inmediata - Objeto de esta solicitud): </w:t>
      </w:r>
      <w:r>
        <w:rPr>
          <w:sz w:val="24"/>
          <w:color w:val="1E293B"/>
        </w:rPr>
        <w:t>Adquisición de la infraestructura cloud, vinculación de dominio oficial, configuración de reglas de firewall, pruebas de carga y validación en parroquias piloto (Las Cocuizas, San Simón y Alto de Los Godos). Inversión requerida: $294.00 USD.</w:t>
      </w:r>
    </w:p>
    <w:p>
      <w:pPr>
        <w:jc w:val="both"/>
        <w:spacing w:line="360" w:after="140"/>
      </w:pPr>
      <w:r>
        <w:rPr>
          <w:b/>
          <w:sz w:val="24"/>
          <w:color w:val="0284C7"/>
        </w:rPr>
        <w:t xml:space="preserve">• Fase 2 (Consolidación de Sala Situacional Física): </w:t>
      </w:r>
      <w:r>
        <w:rPr>
          <w:sz w:val="24"/>
          <w:color w:val="1E293B"/>
        </w:rPr>
        <w:t>En una etapa posterior, sujeta a la planificación y disponibilidad del movimiento, se contempla la dotación física del espacio de mando (equipos de computación dedicados, pantallas de visualización general para seguimiento simultáneo y sistemas de respaldo eléctrico con inversores/UPS para operar durante las fallas del servicio eléctrico regional).</w:t>
      </w:r>
    </w:p>
    <w:p>
      <w:pPr>
        <w:pStyle w:val="Heading1"/>
      </w:pPr>
      <w:r>
        <w:t>CAPÍTULO V: CONCLUSIONES Y DICTAMEN TÉCNICO</w:t>
      </w:r>
    </w:p>
    <w:p>
      <w:pPr>
        <w:jc w:val="both"/>
        <w:spacing w:line="360" w:after="140"/>
      </w:pPr>
      <w:r>
        <w:rPr>
          <w:b/>
          <w:sz w:val="24"/>
          <w:color w:val="0284C7"/>
        </w:rPr>
        <w:t xml:space="preserve">• Madurez Funcional: </w:t>
      </w:r>
      <w:r>
        <w:rPr>
          <w:sz w:val="24"/>
          <w:color w:val="1E293B"/>
        </w:rPr>
        <w:t>Los cinco módulos de la plataforma MIGATO se encuentran programados y validados en entornos locales de prueba, demostrando plena solvencia operativa para la gestión territorial del estado.</w:t>
      </w:r>
    </w:p>
    <w:p>
      <w:pPr>
        <w:jc w:val="both"/>
        <w:spacing w:line="360" w:after="140"/>
      </w:pPr>
      <w:r>
        <w:rPr>
          <w:b/>
          <w:sz w:val="24"/>
          <w:color w:val="0284C7"/>
        </w:rPr>
        <w:t xml:space="preserve">• Seguridad y Protección Humana: </w:t>
      </w:r>
      <w:r>
        <w:rPr>
          <w:sz w:val="24"/>
          <w:color w:val="1E293B"/>
        </w:rPr>
        <w:t>El esquema de enlaces mediante token web y el protocolo de borrado de formularios en el dispositivo blindan de manera efectiva la integridad de la militancia de base en el terreno.</w:t>
      </w:r>
    </w:p>
    <w:p>
      <w:pPr>
        <w:jc w:val="both"/>
        <w:spacing w:line="360" w:after="140"/>
      </w:pPr>
      <w:r>
        <w:rPr>
          <w:b/>
          <w:sz w:val="24"/>
          <w:color w:val="0284C7"/>
        </w:rPr>
        <w:t xml:space="preserve">• Máxima Rentabilidad de Inversión: </w:t>
      </w:r>
      <w:r>
        <w:rPr>
          <w:sz w:val="24"/>
          <w:color w:val="1E293B"/>
        </w:rPr>
        <w:t>La inversión anual solicitada ($294.00 USD) es exclusivamente de costo directo de servidores y representa una fracción mínima en comparación con el valor de mercado de un sistema corporativo de esta envergadura.</w:t>
      </w:r>
    </w:p>
    <w:p>
      <w:pPr>
        <w:pBdr>
          <w:left w:val="single" w:sz="24" w:space="14" w:color="0284C7"/>
        </w:pBdr>
        <w:shd w:val="clear" w:color="auto" w:fill="F0F9FF"/>
        <w:spacing w:line="360" w:before="120" w:after="140"/>
        <w:jc w:val="both"/>
      </w:pPr>
      <w:r>
        <w:rPr>
          <w:i/>
          <w:sz w:val="22"/>
          <w:color w:val="0369A1"/>
        </w:rPr>
        <w:t>RECOMENDACIÓN FINAL: El Equipo Técnico de Sistemas y Arquitectura Digital recomienda formalmente a la Dirección General de MIGATO aprobar el presupuesto operativo de $294.00 USD anuales para proceder de inmediato con la contratación del servidor dedicado y el encendido formal de la Fase 1 del proyecto.</w:t>
      </w:r>
    </w:p>
    <w:p>
      <w:pPr>
        <w:jc w:val="center"/>
        <w:spacing w:before="360" w:after="40"/>
      </w:pPr>
      <w:r>
        <w:rPr>
          <w:b/>
          <w:sz w:val="22"/>
          <w:color w:val="0F172A"/>
        </w:rPr>
        <w:t>Documento técnico institucional elaborado y avalado por el</w:t>
      </w:r>
    </w:p>
    <w:p>
      <w:pPr>
        <w:jc w:val="center"/>
        <w:spacing w:after="40"/>
      </w:pPr>
      <w:r>
        <w:rPr>
          <w:b/>
          <w:sz w:val="22"/>
          <w:color w:val="0284C7"/>
        </w:rPr>
        <w:t>Equipo Técnico de Sistemas y Desarrollo de la Plataforma Territorial MIGATO</w:t>
      </w:r>
    </w:p>
    <w:p>
      <w:pPr>
        <w:jc w:val="center"/>
        <w:spacing w:after="140"/>
      </w:pPr>
      <w:r>
        <w:rPr>
          <w:sz w:val="20"/>
          <w:color w:val="64748B"/>
        </w:rPr>
        <w:t>Maturín, Estado Monagas, República Bolivariana de Venezuela.</w:t>
      </w:r>
    </w:p>
    <w:sectPr>
      <w:headerReference w:type="default" r:id="rIdHeader1"/>
      <w:headerReference w:type="first" r:id="rIdHeaderFirst"/>
      <w:footerReference w:type="default" r:id="rIdFooter1"/>
      <w:footerReference w:type="first" r:id="rIdFooterFirst"/>
      <w:titlePg/>
      <w:pgSz w:w="12240" w:h="15840"/>
      <w:pgMar w:top="1440" w:right="1440" w:bottom="1440" w:left="1700" w:header="720" w:footer="720" w:gutter="0"/>
      <w:cols w:space="720"/>
      <w:docGrid w:linePitch="360"/>
    </w:sectPr>
  </w:body>
</w:document>
</file>

<file path=word/footer1.xml><?xml version="1.0" encoding="utf-8"?>
<w:ftr xmlns:w="http://schemas.openxmlformats.org/wordprocessingml/2006/main">
  <w:tbl>
    <w:tblPr>
      <w:tblW w:w="5000" w:type="pct"/>
      <w:tblBorders>
        <w:top w:val="single" w:sz="6" w:space="6" w:color="CBD5E1"/>
        <w:left w:val="none"/>
        <w:bottom w:val="none"/>
        <w:right w:val="none"/>
        <w:insideH w:val="none"/>
        <w:insideV w:val="none"/>
      </w:tblBorders>
    </w:tblPr>
    <w:tr>
      <w:tc>
        <w:tcPr>
          <w:tcW w:w="3400" w:type="pct"/>
        </w:tcPr>
        <w:p>
          <w:pPr>
            <w:jc w:val="left"/>
            <w:spacing w:before="60"/>
          </w:pPr>
          <w:r>
            <w:rPr>
              <w:rFonts w:ascii="Arial"/>
              <w:sz w:val="17"/>
              <w:color w:val="64748B"/>
              <w:i/>
            </w:rPr>
            <w:t>Informe Técnico y Propuesta de Factibilidad • Arquitectura MIGATO</w:t>
          </w:r>
        </w:p>
      </w:tc>
      <w:tc>
        <w:tcPr>
          <w:tcW w:w="1600" w:type="pct"/>
        </w:tcPr>
        <w:p>
          <w:pPr>
            <w:jc w:val="right"/>
            <w:spacing w:before="60"/>
          </w:pPr>
          <w:r>
            <w:rPr>
              <w:rFonts w:ascii="Arial"/>
              <w:sz w:val="17"/>
              <w:color w:val="0F172A"/>
              <w:b/>
            </w:rPr>
            <w:t>Página </w:t>
          </w:r>
          <w:fldSimple w:instr="PAGE"/>
          <w:r>
            <w:rPr>
              <w:rFonts w:ascii="Arial"/>
              <w:sz w:val="17"/>
              <w:color w:val="0F172A"/>
              <w:b/>
            </w:rPr>
            <w:t> de </w:t>
          </w:r>
          <w:fldSimple w:instr="NUMPAGES"/>
        </w:p>
      </w:tc>
    </w:tr>
  </w:tbl>
</w:ftr>
</file>

<file path=word/footer_first.xml><?xml version="1.0" encoding="utf-8"?>
<w:ftr xmlns:w="http://schemas.openxmlformats.org/wordprocessingml/2006/main">
  <w:p/>
</w:ftr>
</file>

<file path=word/header1.xml><?xml version="1.0" encoding="utf-8"?>
<w:hdr xmlns:w="http://schemas.openxmlformats.org/wordprocessingml/2006/main">
  <w:tbl>
    <w:tblPr>
      <w:tblW w:w="5000" w:type="pct"/>
      <w:tblBorders>
        <w:top w:val="none"/>
        <w:left w:val="none"/>
        <w:bottom w:val="single" w:sz="8" w:space="6" w:color="0284C7"/>
        <w:right w:val="none"/>
        <w:insideH w:val="none"/>
        <w:insideV w:val="none"/>
      </w:tblBorders>
    </w:tblPr>
    <w:tr>
      <w:tc>
        <w:tcPr>
          <w:tcW w:w="2800" w:type="pct"/>
        </w:tcPr>
        <w:p>
          <w:pPr>
            <w:jc w:val="left"/>
            <w:spacing w:after="40"/>
          </w:pPr>
          <w:r>
            <w:rPr>
              <w:rFonts w:ascii="Arial"/>
              <w:sz w:val="17"/>
              <w:color w:val="0284C7"/>
              <w:b/>
            </w:rPr>
            <w:t>REPÚBLICA BOLIVARIANA DE VENEZUELA • ESTADO MONAGAS</w:t>
          </w:r>
        </w:p>
      </w:tc>
      <w:tc>
        <w:tcPr>
          <w:tcW w:w="2200" w:type="pct"/>
        </w:tcPr>
        <w:p>
          <w:pPr>
            <w:jc w:val="right"/>
            <w:spacing w:after="40"/>
          </w:pPr>
          <w:r>
            <w:rPr>
              <w:rFonts w:ascii="Arial"/>
              <w:sz w:val="17"/>
              <w:color w:val="0F172A"/>
              <w:b/>
            </w:rPr>
            <w:t>MOVIMIENTO INDEPENDIENTE GANAMOS TODOS (MIGATO)</w:t>
          </w:r>
        </w:p>
      </w:tc>
    </w:tr>
  </w:tbl>
</w:hdr>
</file>

<file path=word/header_first.xml><?xml version="1.0" encoding="utf-8"?>
<w:hdr xmlns:w="http://schemas.openxmlformats.org/wordprocessingml/2006/main">
  <w:p/>
</w:hdr>
</file>

<file path=word/styles.xml><?xml version="1.0" encoding="utf-8"?>
<w:styles xmlns:w="http://schemas.openxmlformats.org/wordprocessingml/2006/main">
  <w:docDefaults>
    <w:rPrDefault>
      <w:rPr>
        <w:rFonts w:ascii="Arial" w:hAnsi="Arial" w:cs="Arial"/>
        <w:sz w:val="24"/>
        <w:szCs w:val="24"/>
        <w:color w:val="0F172A"/>
      </w:rPr>
    </w:rPrDefault>
    <w:pPrDefault>
      <w:pPr>
        <w:spacing w:line="360" w:lineRule="auto" w:after="140"/>
        <w:jc w:val="both"/>
      </w:pPr>
    </w:pPrDefault>
  </w:docDefaults>
  <w:style w:type="paragraph" w:styleId="Heading1">
    <w:name w:val="heading 1"/>
    <w:pPr>
      <w:spacing w:before="360" w:after="140"/>
      <w:jc w:val="left"/>
    </w:pPr>
    <w:rPr>
      <w:rFonts w:ascii="Arial" w:hAnsi="Arial"/>
      <w:b/>
      <w:color w:val="0F172A"/>
      <w:sz w:val="30"/>
    </w:rPr>
  </w:style>
  <w:style w:type="paragraph" w:styleId="Heading2">
    <w:name w:val="heading 2"/>
    <w:pPr>
      <w:spacing w:before="240" w:after="100"/>
      <w:jc w:val="left"/>
    </w:pPr>
    <w:rPr>
      <w:rFonts w:ascii="Arial" w:hAnsi="Arial"/>
      <w:b/>
      <w:color w:val="0284C7"/>
      <w:sz w:val="26"/>
    </w:rPr>
  </w:style>
  <w:style w:type="paragraph" w:styleId="Heading3">
    <w:name w:val="heading 3"/>
    <w:pPr>
      <w:spacing w:before="180" w:after="60"/>
      <w:jc w:val="left"/>
    </w:pPr>
    <w:rPr>
      <w:rFonts w:ascii="Arial" w:hAnsi="Arial"/>
      <w:b/>
      <w:color w:val="0369A1"/>
      <w:sz w:val="24"/>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eader1" Type="http://schemas.openxmlformats.org/officeDocument/2006/relationships/header" Target="header1.xml"/>
  <Relationship Id="rIdHeaderFirst" Type="http://schemas.openxmlformats.org/officeDocument/2006/relationships/header" Target="header_first.xml"/>
  <Relationship Id="rIdFooter1" Type="http://schemas.openxmlformats.org/officeDocument/2006/relationships/footer" Target="footer1.xml"/>
  <Relationship Id="rIdFooterFirst" Type="http://schemas.openxmlformats.org/officeDocument/2006/relationships/footer" Target="footer_first.xml"/>
  <Relationship Id="rIdLogo" Type="http://schemas.openxmlformats.org/officeDocument/2006/relationships/image" Target="media/logo.png"/>
</Relationships>
</file>