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40" w:line="240" w:lineRule="auto"/>
      </w:pPr>
      <w:r>
        <w:rPr>
          <w:b/>
          <w:sz w:val="21"/>
        </w:rPr>
        <w:t>REPÚBLICA DE VENEZUELA</w:t>
      </w:r>
    </w:p>
    <w:p>
      <w:pPr>
        <w:jc w:val="center"/>
        <w:spacing w:before="0" w:after="40" w:line="240" w:lineRule="auto"/>
      </w:pPr>
      <w:r>
        <w:rPr>
          <w:b/>
          <w:sz w:val="21"/>
        </w:rPr>
        <w:t>ESTADO MONAGAS • SALA SITUACIONAL Y CENTRAL DE MANDO</w:t>
      </w:r>
    </w:p>
    <w:p>
      <w:pPr>
        <w:jc w:val="center"/>
        <w:spacing w:before="0" w:after="40" w:line="240" w:lineRule="auto"/>
      </w:pPr>
      <w:r>
        <w:rPr>
          <w:b/>
          <w:sz w:val="21"/>
        </w:rPr>
        <w:t>MOVIMIENTO INDEPENDIENTE GANAMOS TODOS (MIGATO)</w:t>
      </w:r>
    </w:p>
    <w:p>
      <w:pPr>
        <w:jc w:val="center"/>
        <w:spacing w:before="240" w:after="160"/>
      </w:pPr>
      <w:r>
        <w:rPr>
          <w:b/>
          <w:sz w:val="28"/>
          <w:color w:val="1e1554"/>
        </w:rPr>
        <w:t>REUNIÓN DE COORDINACIÓN TERRITORIAL • ALTO DE LOS GODOS Y PARROQUIAS DE MATURÍN</w:t>
      </w:r>
    </w:p>
    <w:p>
      <w:pPr>
        <w:jc w:val="both"/>
        <w:spacing w:before="120" w:after="80"/>
      </w:pPr>
      <w:r>
        <w:rPr>
          <w:b/>
          <w:sz w:val="22"/>
          <w:color w:val="1e1554"/>
        </w:rPr>
        <w:t>1. FICHA TÉCNICA Y CONTEXTO OPERATIVO</w:t>
      </w:r>
    </w:p>
    <w:p>
      <w:pPr>
        <w:jc w:val="both"/>
        <w:ind w:firstLine="567"/>
      </w:pPr>
      <w:r>
        <w:rPr>
          <w:b/>
        </w:rPr>
        <w:t xml:space="preserve">Fecha: </w:t>
      </w:r>
      <w:r>
        <w:t xml:space="preserve">2026-09-25   |   </w:t>
      </w:r>
      <w:r>
        <w:rPr>
          <w:b/>
        </w:rPr>
        <w:t xml:space="preserve">Duración de Grabación: </w:t>
      </w:r>
      <w:r>
        <w:t xml:space="preserve">02:45:10   |   </w:t>
      </w:r>
      <w:r>
        <w:rPr>
          <w:b/>
        </w:rPr>
        <w:t xml:space="preserve">Sede / Jurisdicción: </w:t>
      </w:r>
      <w:r>
        <w:t>Sede Central de Campaña MIGATO, Maturín</w:t>
      </w:r>
    </w:p>
    <w:p>
      <w:pPr>
        <w:jc w:val="both"/>
        <w:ind w:firstLine="567"/>
      </w:pPr>
      <w:r>
        <w:rPr>
          <w:b/>
        </w:rPr>
        <w:t xml:space="preserve">Asistentes / Vocería: </w:t>
      </w:r>
      <w:r>
        <w:t>José Gregorio El Gato Briceño (Líder Regional), Ing. Diego Donado (Director de Tecnología y Ciberdefensa), Coordinador Municipal Maturín, Enlace Parroquial Alto de Los Godos</w:t>
      </w:r>
    </w:p>
    <w:p>
      <w:pPr>
        <w:jc w:val="both"/>
        <w:spacing w:before="180" w:after="80"/>
      </w:pPr>
      <w:r>
        <w:rPr>
          <w:b/>
          <w:sz w:val="22"/>
          <w:color w:val="1e1554"/>
        </w:rPr>
        <w:t>2. RESUMEN EJECUTIVO (BLUF)</w:t>
      </w:r>
    </w:p>
    <w:p>
      <w:pPr>
        <w:jc w:val="both"/>
        <w:ind w:firstLine="567"/>
      </w:pPr>
      <w:r>
        <w:t>Se evaluó la estructura de los 175 centros de votación y el despliegue de los Comandos Gateros en la Parroquia Alto de Los Godos. Se acordó la calibración milimétrica de los sectores La Puente, Los Guaritos y Paramaconi para garantizar cobertura del 100% de los testigos electorales.</w:t>
      </w:r>
    </w:p>
    <w:p>
      <w:pPr>
        <w:jc w:val="both"/>
        <w:spacing w:before="180" w:after="80"/>
      </w:pPr>
      <w:r>
        <w:rPr>
          <w:b/>
          <w:sz w:val="22"/>
          <w:color w:val="1e1554"/>
        </w:rPr>
        <w:t>3. MATRIZ DE LLUVIA DE IDEAS Y PROPUESTAS</w:t>
      </w:r>
    </w:p>
    <w:p>
      <w:pPr>
        <w:jc w:val="both"/>
        <w:ind w:left="400" w:hanging="400"/>
        <w:spacing w:after="60"/>
      </w:pPr>
      <w:r>
        <w:rPr>
          <w:b/>
        </w:rPr>
        <w:t xml:space="preserve">• [1] </w:t>
      </w:r>
      <w:r>
        <w:t>Implementar buzón de carga territorial offline para que los encuestadores no dependan de cobertura celular.</w:t>
      </w:r>
    </w:p>
    <w:p>
      <w:pPr>
        <w:jc w:val="both"/>
        <w:ind w:left="400" w:hanging="400"/>
        <w:spacing w:after="60"/>
      </w:pPr>
      <w:r>
        <w:rPr>
          <w:b/>
        </w:rPr>
        <w:t xml:space="preserve">• [2] </w:t>
      </w:r>
      <w:r>
        <w:t>Segmentar la Parroquia Alto de Los Godos en 9 sub-sectores operativos con enlaces directos.</w:t>
      </w:r>
    </w:p>
    <w:p>
      <w:pPr>
        <w:jc w:val="both"/>
        <w:ind w:left="400" w:hanging="400"/>
        <w:spacing w:after="60"/>
      </w:pPr>
      <w:r>
        <w:rPr>
          <w:b/>
        </w:rPr>
        <w:t xml:space="preserve">• [3] </w:t>
      </w:r>
      <w:r>
        <w:t>Distribuir actas de escrutinio QR a los testigos de mesa con canal seguro de transmisión.</w:t>
      </w:r>
    </w:p>
    <w:p>
      <w:pPr>
        <w:jc w:val="both"/>
        <w:spacing w:before="180" w:after="80"/>
      </w:pPr>
      <w:r>
        <w:rPr>
          <w:b/>
          <w:sz w:val="22"/>
          <w:color w:val="1e1554"/>
        </w:rPr>
        <w:t>4. DEBATE DIALÉCTICO: OPINIONES VS. CONTRAOPINIONES</w:t>
      </w:r>
    </w:p>
    <w:p>
      <w:pPr>
        <w:jc w:val="both"/>
        <w:spacing w:before="100" w:after="40"/>
      </w:pPr>
      <w:r>
        <w:rPr>
          <w:b/>
          <w:u w:val="single"/>
        </w:rPr>
        <w:t>Eje: Método de Transmisión de Actas de Escrutinio en Zonas con Interferencia</w:t>
      </w:r>
    </w:p>
    <w:p>
      <w:pPr>
        <w:jc w:val="both"/>
        <w:ind w:left="400"/>
        <w:spacing w:after="40"/>
      </w:pPr>
      <w:r>
        <w:rPr>
          <w:b/>
          <w:color w:val="059669"/>
        </w:rPr>
        <w:t xml:space="preserve">Propuesta / Argumento A Favor: </w:t>
      </w:r>
      <w:r>
        <w:t>Utilizar exclusivamente enlaces satelitales en centros pilotos de alta votación.</w:t>
      </w:r>
    </w:p>
    <w:p>
      <w:pPr>
        <w:jc w:val="both"/>
        <w:ind w:left="400"/>
        <w:spacing w:after="40"/>
      </w:pPr>
      <w:r>
        <w:rPr>
          <w:b/>
          <w:color w:val="dc2626"/>
        </w:rPr>
        <w:t xml:space="preserve">Objeción / Contraopinión: </w:t>
      </w:r>
      <w:r>
        <w:t>El costo y peso logístico puede dejar desprotegidos a centros comunitarios periféricos.</w:t>
      </w:r>
    </w:p>
    <w:p>
      <w:pPr>
        <w:jc w:val="both"/>
        <w:ind w:left="400"/>
        <w:spacing w:after="80"/>
      </w:pPr>
      <w:r>
        <w:rPr>
          <w:b/>
          <w:color w:val="1e1554"/>
        </w:rPr>
        <w:t xml:space="preserve">Resolución de Mando: </w:t>
      </w:r>
      <w:r>
        <w:i/>
        <w:t>Se adoptará un esquema dual: enlace satelital en centros clave y mensajería encriptada local punto a punto en centros menores.</w:t>
      </w:r>
    </w:p>
    <w:p>
      <w:pPr>
        <w:jc w:val="both"/>
        <w:spacing w:before="180" w:after="80"/>
      </w:pPr>
      <w:r>
        <w:rPr>
          <w:b/>
          <w:sz w:val="22"/>
          <w:color w:val="1e1554"/>
        </w:rPr>
        <w:t>5. MATRIZ DE ACUERDOS Y COMPROMISOS ADQUIRIDOS</w:t>
      </w:r>
    </w:p>
    <w:tbl>
      <w:tblPr>
        <w:tblW w:w="9360" w:type="dxa"/>
        <w:jc w:val="center"/>
        <w:tblBorders>
          <w:top w:val="single" w:sz="6" w:space="0" w:color="000000"/>
          <w:left w:val="none"/>
          <w:bottom w:val="single" w:sz="6" w:space="0" w:color="000000"/>
          <w:right w:val="none"/>
          <w:insideH w:val="single" w:sz="4" w:space="0" w:color="CCCCCC"/>
          <w:insideV w:val="none"/>
        </w:tblBorders>
      </w:tblPr>
      <w:tr>
        <w:trPr>
          <w:tblHeader/>
        </w:trPr>
        <w:tc>
          <w:tcPr>
            <w:tcW w:w="4200" w:type="dxa"/>
            <w:shd w:val="clear" w:color="auto" w:fill="EAEAEA"/>
          </w:tcPr>
          <w:p>
            <w:pPr>
              <w:jc w:val="left"/>
              <w:spacing w:after="40"/>
            </w:pPr>
            <w:r>
              <w:rPr>
                <w:b/>
                <w:sz w:val="18"/>
              </w:rPr>
              <w:t>TAREA / COMPROMISO</w:t>
            </w:r>
          </w:p>
        </w:tc>
        <w:tc>
          <w:tcPr>
            <w:tcW w:w="2600" w:type="dxa"/>
            <w:shd w:val="clear" w:color="auto" w:fill="EAEAEA"/>
          </w:tcPr>
          <w:p>
            <w:pPr>
              <w:jc w:val="left"/>
              <w:spacing w:after="40"/>
            </w:pPr>
            <w:r>
              <w:rPr>
                <w:b/>
                <w:sz w:val="18"/>
              </w:rPr>
              <w:t>RESPONSABLE</w:t>
            </w:r>
          </w:p>
        </w:tc>
        <w:tc>
          <w:tcPr>
            <w:tcW w:w="1400" w:type="dxa"/>
            <w:shd w:val="clear" w:color="auto" w:fill="EAEAEA"/>
          </w:tcPr>
          <w:p>
            <w:pPr>
              <w:jc w:val="center"/>
              <w:spacing w:after="40"/>
            </w:pPr>
            <w:r>
              <w:rPr>
                <w:b/>
                <w:sz w:val="18"/>
              </w:rPr>
              <w:t>PLAZO</w:t>
            </w:r>
          </w:p>
        </w:tc>
        <w:tc>
          <w:tcPr>
            <w:tcW w:w="1160" w:type="dxa"/>
            <w:shd w:val="clear" w:color="auto" w:fill="EAEAEA"/>
          </w:tcPr>
          <w:p>
            <w:pPr>
              <w:jc w:val="center"/>
              <w:spacing w:after="40"/>
            </w:pPr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w="4200" w:type="dxa"/>
          </w:tcPr>
          <w:p>
            <w:pPr>
              <w:jc w:val="left"/>
              <w:spacing w:after="30"/>
            </w:pPr>
            <w:r>
              <w:rPr>
                <w:sz w:val="18"/>
              </w:rPr>
              <w:t>Completar la calibración cartográfica de sectores de Los Godos</w:t>
            </w:r>
          </w:p>
        </w:tc>
        <w:tc>
          <w:tcPr>
            <w:tcW w:w="2600" w:type="dxa"/>
          </w:tcPr>
          <w:p>
            <w:pPr>
              <w:jc w:val="left"/>
              <w:spacing w:after="30"/>
            </w:pPr>
            <w:r>
              <w:rPr>
                <w:b/>
                <w:sz w:val="18"/>
              </w:rPr>
              <w:t>Ing. Diego Donado</w:t>
            </w:r>
          </w:p>
        </w:tc>
        <w:tc>
          <w:tcPr>
            <w:tcW w:w="1400" w:type="dxa"/>
          </w:tcPr>
          <w:p>
            <w:pPr>
              <w:jc w:val="center"/>
              <w:spacing w:after="30"/>
            </w:pPr>
            <w:r>
              <w:rPr>
                <w:sz w:val="18"/>
              </w:rPr>
              <w:t>48 Horas</w:t>
            </w:r>
          </w:p>
        </w:tc>
        <w:tc>
          <w:tcPr>
            <w:tcW w:w="1160" w:type="dxa"/>
          </w:tcPr>
          <w:p>
            <w:pPr>
              <w:jc w:val="center"/>
              <w:spacing w:after="30"/>
            </w:pPr>
            <w:r>
              <w:rPr>
                <w:b/>
                <w:sz w:val="18"/>
              </w:rPr>
              <w:t>En Curso</w:t>
            </w:r>
          </w:p>
        </w:tc>
      </w:tr>
      <w:tr>
        <w:tc>
          <w:tcPr>
            <w:tcW w:w="4200" w:type="dxa"/>
          </w:tcPr>
          <w:p>
            <w:pPr>
              <w:jc w:val="left"/>
              <w:spacing w:after="30"/>
            </w:pPr>
            <w:r>
              <w:rPr>
                <w:sz w:val="18"/>
              </w:rPr>
              <w:t>Designación de testigos para los 38 centros electorales de Los Godos</w:t>
            </w:r>
          </w:p>
        </w:tc>
        <w:tc>
          <w:tcPr>
            <w:tcW w:w="2600" w:type="dxa"/>
          </w:tcPr>
          <w:p>
            <w:pPr>
              <w:jc w:val="left"/>
              <w:spacing w:after="30"/>
            </w:pPr>
            <w:r>
              <w:rPr>
                <w:b/>
                <w:sz w:val="18"/>
              </w:rPr>
              <w:t>Enlace Parroquial</w:t>
            </w:r>
          </w:p>
        </w:tc>
        <w:tc>
          <w:tcPr>
            <w:tcW w:w="1400" w:type="dxa"/>
          </w:tcPr>
          <w:p>
            <w:pPr>
              <w:jc w:val="center"/>
              <w:spacing w:after="30"/>
            </w:pPr>
            <w:r>
              <w:rPr>
                <w:sz w:val="18"/>
              </w:rPr>
              <w:t>5 Días</w:t>
            </w:r>
          </w:p>
        </w:tc>
        <w:tc>
          <w:tcPr>
            <w:tcW w:w="1160" w:type="dxa"/>
          </w:tcPr>
          <w:p>
            <w:pPr>
              <w:jc w:val="center"/>
              <w:spacing w:after="30"/>
            </w:pPr>
            <w:r>
              <w:rPr>
                <w:b/>
                <w:sz w:val="18"/>
              </w:rPr>
              <w:t>Aprobado</w:t>
            </w:r>
          </w:p>
        </w:tc>
      </w:tr>
    </w:tbl>
    <w:p>
      <w:pPr>
        <w:jc w:val="both"/>
        <w:spacing w:before="180" w:after="80"/>
      </w:pPr>
      <w:r>
        <w:rPr>
          <w:b/>
          <w:sz w:val="22"/>
          <w:color w:val="1e1554"/>
        </w:rPr>
        <w:t>6. PUNTOS PENDIENTES PARA LA PRÓXIMA SESIÓN</w:t>
      </w:r>
    </w:p>
    <w:p>
      <w:pPr>
        <w:jc w:val="both"/>
        <w:ind w:left="400" w:hanging="400"/>
        <w:spacing w:after="40"/>
      </w:pPr>
      <w:r>
        <w:rPr>
          <w:b/>
        </w:rPr>
        <w:t>▪ </w:t>
      </w:r>
      <w:r>
        <w:t>Definir protocolo de respaldo de energía para los centros de transmisión en caso de caída del SEN.</w:t>
      </w:r>
    </w:p>
    <w:p>
      <w:pPr>
        <w:jc w:val="both"/>
        <w:ind w:left="400" w:hanging="400"/>
        <w:spacing w:after="40"/>
      </w:pPr>
      <w:r>
        <w:rPr>
          <w:b/>
        </w:rPr>
        <w:t>▪ </w:t>
      </w:r>
      <w:r>
        <w:t>Reunión de balance con coordinadores de los 12 municipios foráneos el próximo martes.</w:t>
      </w:r>
    </w:p>
    <w:p>
      <w:pPr>
        <w:spacing w:before="360" w:after="100"/>
      </w:pPr>
    </w:p>
    <w:tbl>
      <w:tblPr>
        <w:tblW w:w="9360" w:type="dxa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680" w:type="dxa"/>
          </w:tcPr>
          <w:p>
            <w:pPr>
              <w:jc w:val="center"/>
              <w:spacing w:after="20"/>
            </w:pPr>
            <w:r>
              <w:t>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  <w:sz w:val="19"/>
              </w:rPr>
              <w:t>JOSÉ GREGORIO BRICEÑO</w:t>
            </w:r>
          </w:p>
          <w:p>
            <w:pPr>
              <w:jc w:val="center"/>
              <w:spacing w:after="20"/>
            </w:pPr>
            <w:r>
              <w:rPr>
                <w:sz w:val="17"/>
                <w:color w:val="555555"/>
              </w:rPr>
              <w:t>Líder Regional MIGATO • Gobernación 2026</w:t>
            </w:r>
          </w:p>
        </w:tc>
        <w:tc>
          <w:tcPr>
            <w:tcW w:w="4680" w:type="dxa"/>
          </w:tcPr>
          <w:p>
            <w:pPr>
              <w:jc w:val="center"/>
              <w:spacing w:after="20"/>
            </w:pPr>
            <w:r>
              <w:t>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  <w:sz w:val="19"/>
              </w:rPr>
              <w:t>ING. DIEGO DONADO</w:t>
            </w:r>
          </w:p>
          <w:p>
            <w:pPr>
              <w:jc w:val="center"/>
              <w:spacing w:after="20"/>
            </w:pPr>
            <w:r>
              <w:rPr>
                <w:sz w:val="17"/>
                <w:color w:val="555555"/>
              </w:rPr>
              <w:t>Resp. Ciencia, Tecnología y Ciberdefensa</w:t>
            </w:r>
          </w:p>
        </w:tc>
      </w:tr>
    </w:tbl>
    <w:sectPr>
      <w:headerReference w:type="default" r:id="rIdHeader1"/>
      <w:footerReference w:type="default" r:id="rIdFooter1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rFonts w:ascii="Times New Roman" w:hAnsi="Times New Roman"/>
        <w:sz w:val="18"/>
        <w:color w:val="666666"/>
      </w:rPr>
      <w:t xml:space="preserve">Página </w:t>
    </w:r>
    <w:fldSimple w:instr="PAGE"/>
    <w:r>
      <w:rPr>
        <w:rFonts w:ascii="Times New Roman" w:hAnsi="Times New Roman"/>
        <w:sz w:val="18"/>
        <w:color w:val="666666"/>
      </w:rPr>
      <w:t xml:space="preserve"> de </w:t>
    </w:r>
    <w:fldSimple w:instr="NUMPAGES"/>
  </w:p>
</w:ftr>
</file>

<file path=word/header1.xml><?xml version="1.0" encoding="utf-8"?>
<w:hdr xmlns:w="http://schemas.openxmlformats.org/wordprocessingml/2006/main">
  <w:p>
    <w:pPr>
      <w:pStyle w:val="Header"/>
      <w:jc w:val="right"/>
      <w:spacing w:after="100"/>
    </w:pPr>
    <w:r>
      <w:rPr>
        <w:rFonts w:ascii="Times New Roman" w:hAnsi="Times New Roman"/>
        <w:sz w:val="17"/>
        <w:color w:val="555555"/>
        <w:i/>
      </w:rPr>
      <w:t>COMANDO REGIONAL MIGATO • ACTA OFICIAL DE SALA SITUACIONAL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3"/>
        <w:szCs w:val="23"/>
        <w:color w:val="000000"/>
        <w:lang w:val="es-VE"/>
      </w:rPr>
    </w:rPrDefault>
    <w:pPrDefault>
      <w:pPr>
        <w:spacing w:line="280" w:lineRule="auto" w:before="0" w:after="14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Header1" Type="http://schemas.openxmlformats.org/officeDocument/2006/relationships/header" Target="header1.xml"/>
  <Relationship Id="rIdFooter1" Type="http://schemas.openxmlformats.org/officeDocument/2006/relationships/footer" Target="footer1.xml"/>
  <Relationship Id="rIdLogoDoc" Type="http://schemas.openxmlformats.org/officeDocument/2006/relationships/image" Target="media/logo.png"/>
</Relationships>
</file>