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100" w:after="60"/>
      </w:pPr>
      <w:r>
        <w:rPr>
          <w:b/>
          <w:color w:val="475569"/>
          <w:sz w:val="20"/>
        </w:rPr>
        <w:t>REPÚBLICA BOLIVARIANA DE VENEZUELA • GOBERNACIÓN DEL ESTADO MONAGAS</w:t>
      </w:r>
    </w:p>
    <w:p>
      <w:pPr>
        <w:jc w:val="center"/>
        <w:spacing w:before="60" w:after="240"/>
      </w:pPr>
      <w:r>
        <w:rPr>
          <w:b/>
          <w:color w:val="0F172A"/>
          <w:sz w:val="44"/>
        </w:rPr>
        <w:t>PROYECTO MIGATO: SISTEMA INTEGRAL DE GOBIERNO DIGITAL</w:t>
      </w:r>
    </w:p>
    <w:p>
      <w:pPr>
        <w:pBdr>
          <w:left w:val="single" w:sz="24" w:space="15" w:color="1E3A8A"/>
        </w:pBdr>
        <w:shd w:val="clear" w:color="auto" w:fill="F1F5F9"/>
        <w:spacing w:before="120" w:after="120"/>
      </w:pPr>
      <w:r>
        <w:rPr>
          <w:i/>
          <w:color w:val="1E293B"/>
        </w:rPr>
        <w:t>Documento Oficial: DOC-GOB-MIGATO-2026-REV2 | Clasificación: Uso Ejecutivo y Toma de Decisiones | Estado Monagas</w:t>
      </w:r>
    </w:p>
    <w:p>
      <w:pPr>
        <w:pStyle w:val="Heading1"/>
      </w:pPr>
      <w:r>
        <w:t>1. Resumen Ejecutivo de Alto Nivel</w:t>
      </w:r>
    </w:p>
    <w:p>
      <w:r>
        <w:t>El Proyecto MIGATO (Módulo Integral de Gestión, Auditoría y Territorio Organizado) representa el salto estratégico hacia el Gobierno Digital del Estado Monagas. Unifica en una sola plataforma de soberanía tecnológica cuatro ejes vitales de la gestión pública, eliminando la burocracia en papel, sincronizando los datos en tiempo real y permitiendo que tanto el Gobernador como su gabinete tomen decisiones con certeza científica.</w:t>
      </w:r>
    </w:p>
    <w:p>
      <w:pPr>
        <w:ind w:left="400"/>
        <w:spacing w:after="80"/>
      </w:pPr>
      <w:r>
        <w:rPr>
          <w:b/>
          <w:color w:val="1E3A8A"/>
        </w:rPr>
        <w:t>▪ Soberanía y Seguridad: </w:t>
      </w:r>
      <w:r>
        <w:t>Desarrollado sobre tecnologías abiertas y seguras, sin dependencia de licencias foráneas.</w:t>
      </w:r>
    </w:p>
    <w:p>
      <w:pPr>
        <w:ind w:left="400"/>
        <w:spacing w:after="80"/>
      </w:pPr>
      <w:r>
        <w:rPr>
          <w:b/>
          <w:color w:val="1E3A8A"/>
        </w:rPr>
        <w:t>▪ Decisiones en Tiempo Real: </w:t>
      </w:r>
      <w:r>
        <w:t>Sustituye reportes estáticos y retrasados por un panel interactivo con alertas tempranas.</w:t>
      </w:r>
    </w:p>
    <w:p>
      <w:pPr>
        <w:ind w:left="400"/>
        <w:spacing w:after="80"/>
      </w:pPr>
      <w:r>
        <w:rPr>
          <w:b/>
          <w:color w:val="1E3A8A"/>
        </w:rPr>
        <w:t>▪ Poder Popular Conectado: </w:t>
      </w:r>
      <w:r>
        <w:t>Censo territorial con capacidad de operar sin conexión a internet y sincronización automática.</w:t>
      </w:r>
    </w:p>
    <w:p>
      <w:pPr>
        <w:ind w:left="400"/>
        <w:spacing w:after="80"/>
      </w:pPr>
      <w:r>
        <w:rPr>
          <w:b/>
          <w:color w:val="1E3A8A"/>
        </w:rPr>
        <w:t>▪ Transparencia Total: </w:t>
      </w:r>
      <w:r>
        <w:t>Auditoría ciudadana y electoral verificable con rigor estadístico y cartografía 3D.</w:t>
      </w:r>
    </w:p>
    <w:p>
      <w:pPr>
        <w:pStyle w:val="Heading1"/>
      </w:pPr>
      <w:r>
        <w:t>2. Los Cuatro Módulos Estratégicos</w:t>
      </w:r>
    </w:p>
    <w:p>
      <w:pPr>
        <w:pStyle w:val="Heading2"/>
      </w:pPr>
      <w:r>
        <w:t>Módulo 1: Despacho del Gobernador y Sala Situacional</w:t>
      </w:r>
    </w:p>
    <w:p>
      <w:r>
        <w:t>El centro neurálgico para la toma de decisiones del Ejecutivo Regional. Concentra los indicadores críticos del Estado Monagas en un tablero unificado.</w:t>
      </w:r>
    </w:p>
    <w:p>
      <w:pPr>
        <w:ind w:left="400"/>
        <w:spacing w:after="80"/>
      </w:pPr>
      <w:r>
        <w:rPr>
          <w:b/>
          <w:color w:val="1E3A8A"/>
        </w:rPr>
        <w:t>▪ ¿Qué hace?: </w:t>
      </w:r>
      <w:r>
        <w:t>Monitorea en vivo el estado de los servicios públicos (agua, electricidad, gas), red hospitalaria, seguridad y ejecución de obras por parroquia.</w:t>
      </w:r>
    </w:p>
    <w:p>
      <w:pPr>
        <w:ind w:left="400"/>
        <w:spacing w:after="80"/>
      </w:pPr>
      <w:r>
        <w:rPr>
          <w:b/>
          <w:color w:val="1E3A8A"/>
        </w:rPr>
        <w:t>▪ Beneficio para el Gobernador: </w:t>
      </w:r>
      <w:r>
        <w:t>Detección inmediata de cuellos de botella y emisión directa de instrucciones operativas con trazabilidad de cumplimiento.</w:t>
      </w:r>
    </w:p>
    <w:p>
      <w:pPr>
        <w:ind w:left="400"/>
        <w:spacing w:after="80"/>
      </w:pPr>
      <w:r>
        <w:rPr>
          <w:b/>
          <w:color w:val="1E3A8A"/>
        </w:rPr>
        <w:t>▪ Tecnología aplicada: </w:t>
      </w:r>
      <w:r>
        <w:t>Cuadro de mando integral, gráficos dinámicos de tendencia y matriz de alertas tempranas con código de semáforo.</w:t>
      </w:r>
    </w:p>
    <w:p>
      <w:pPr>
        <w:pStyle w:val="Heading2"/>
      </w:pPr>
      <w:r>
        <w:t>Módulo 2: Censo Comunal y Registro Ciudadano</w:t>
      </w:r>
    </w:p>
    <w:p>
      <w:r>
        <w:t>El instrumento de justicia social para conectar el Poder Popular con las políticas públicas de la Gobernación.</w:t>
      </w:r>
    </w:p>
    <w:p>
      <w:pPr>
        <w:ind w:left="400"/>
        <w:spacing w:after="80"/>
      </w:pPr>
      <w:r>
        <w:rPr>
          <w:b/>
          <w:color w:val="1E3A8A"/>
        </w:rPr>
        <w:t>▪ ¿Qué hace?: </w:t>
      </w:r>
      <w:r>
        <w:t>Levantamiento de información demográfica, socioeconómica y de salud familia por familia en cada circuito comunal de Maturín y Monagas.</w:t>
      </w:r>
    </w:p>
    <w:p>
      <w:pPr>
        <w:ind w:left="400"/>
        <w:spacing w:after="80"/>
      </w:pPr>
      <w:r>
        <w:rPr>
          <w:b/>
          <w:color w:val="1E3A8A"/>
        </w:rPr>
        <w:t>▪ Capacidad Offline: </w:t>
      </w:r>
      <w:r>
        <w:t>Los líderes de comunidad pueden registrar datos en sus dispositivos móviles en sectores sin cobertura celular; al reconectarse, los datos se sincronizan al servidor central.</w:t>
      </w:r>
    </w:p>
    <w:p>
      <w:pPr>
        <w:ind w:left="400"/>
        <w:spacing w:after="80"/>
      </w:pPr>
      <w:r>
        <w:rPr>
          <w:b/>
          <w:color w:val="1E3A8A"/>
        </w:rPr>
        <w:t>▪ Beneficio para el Ciudadano: </w:t>
      </w:r>
      <w:r>
        <w:t>Atención directa de casos de vulnerabilidad, entrega justa y transparente de programas sociales, eliminando la duplicidad.</w:t>
      </w:r>
    </w:p>
    <w:p>
      <w:pPr>
        <w:pStyle w:val="Heading2"/>
      </w:pPr>
      <w:r>
        <w:t>Módulo 3: Auditoría y Monitoreo Electoral CNE</w:t>
      </w:r>
    </w:p>
    <w:p>
      <w:r>
        <w:t>Sistema de monitoreo cívico para salvaguardar la voluntad soberana y garantizar la transparencia en los procesos electorales.</w:t>
      </w:r>
    </w:p>
    <w:p>
      <w:pPr>
        <w:ind w:left="400"/>
        <w:spacing w:after="80"/>
      </w:pPr>
      <w:r>
        <w:rPr>
          <w:b/>
          <w:color w:val="1E3A8A"/>
        </w:rPr>
        <w:t>▪ ¿Qué hace?: </w:t>
      </w:r>
      <w:r>
        <w:t>Auditoría ciudadana y seguimiento del 100% de centros de votación y mesas electorales en el estado Monagas.</w:t>
      </w:r>
    </w:p>
    <w:p>
      <w:pPr>
        <w:ind w:left="400"/>
        <w:spacing w:after="80"/>
      </w:pPr>
      <w:r>
        <w:rPr>
          <w:b/>
          <w:color w:val="1E3A8A"/>
        </w:rPr>
        <w:t>▪ Garantía de Certeza: </w:t>
      </w:r>
      <w:r>
        <w:t>Verificación de actas de votación, trazabilidad de incidencias y análisis estadístico comparativo en tiempo real.</w:t>
      </w:r>
    </w:p>
    <w:p>
      <w:pPr>
        <w:ind w:left="400"/>
        <w:spacing w:after="80"/>
      </w:pPr>
      <w:r>
        <w:rPr>
          <w:b/>
          <w:color w:val="1E3A8A"/>
        </w:rPr>
        <w:t>▪ Valor Democrático: </w:t>
      </w:r>
      <w:r>
        <w:t>Pone a disposición del liderazgo regional un soporte técnico blindado para sustentar resultados y canalizar contingencias de forma inmediata.</w:t>
      </w:r>
    </w:p>
    <w:p>
      <w:pPr>
        <w:pStyle w:val="Heading2"/>
      </w:pPr>
      <w:r>
        <w:t>Módulo 4: Cartografía Digital 3D y Gemelo Digital</w:t>
      </w:r>
    </w:p>
    <w:p>
      <w:r>
        <w:t>La réplica tridimensional georreferenciada de Maturín para la planificación urbana moderna y la mitigación de riesgos.</w:t>
      </w:r>
    </w:p>
    <w:p>
      <w:pPr>
        <w:ind w:left="400"/>
        <w:spacing w:after="80"/>
      </w:pPr>
      <w:r>
        <w:rPr>
          <w:b/>
          <w:color w:val="1E3A8A"/>
        </w:rPr>
        <w:t>▪ ¿Qué hace?: </w:t>
      </w:r>
      <w:r>
        <w:t>Visualización tridimensional de la ciudad, catastro digital, capas de tendido eléctrico, red de aguas servidas y vialidad.</w:t>
      </w:r>
    </w:p>
    <w:p>
      <w:pPr>
        <w:ind w:left="400"/>
        <w:spacing w:after="80"/>
      </w:pPr>
      <w:r>
        <w:rPr>
          <w:b/>
          <w:color w:val="1E3A8A"/>
        </w:rPr>
        <w:t>▪ Gestión de Riesgos: </w:t>
      </w:r>
      <w:r>
        <w:t>Simulación predictiva de inundaciones en temporada de lluvias, monitoreo de quebradas críticas y planificación de rutas de recolección de aseo.</w:t>
      </w:r>
    </w:p>
    <w:p>
      <w:pPr>
        <w:ind w:left="400"/>
        <w:spacing w:after="80"/>
      </w:pPr>
      <w:r>
        <w:rPr>
          <w:b/>
          <w:color w:val="1E3A8A"/>
        </w:rPr>
        <w:t>▪ Impacto Urbano: </w:t>
      </w:r>
      <w:r>
        <w:t>Herramienta indispensable para ingenieros, urbanistas y Protección Civil ante cualquier contingencia climática.</w:t>
      </w:r>
    </w:p>
    <w:p>
      <w:pPr>
        <w:pStyle w:val="Heading1"/>
      </w:pPr>
      <w:r>
        <w:t>3. Matriz Comparativa de Impacto Gubernamental</w:t>
      </w:r>
    </w:p>
    <w:tbl>
      <w:tblPr>
        <w:tblW w:w="5000" w:type="pct"/>
        <w:tblBorders>
          <w:top w:val="single" w:sz="6" w:color="CBD5E1"/>
          <w:bottom w:val="single" w:sz="6" w:color="CBD5E1"/>
          <w:insideH w:val="single" w:sz="4" w:color="E2E8F0"/>
        </w:tblBorders>
      </w:tblPr>
      <w:tr>
        <w:trPr>
          <w:tblHeader/>
        </w:trPr>
        <w:tc>
          <w:tcPr>
            <w:shd w:val="clear" w:color="auto" w:fill="0F172A"/>
          </w:tcPr>
          <w:p>
            <w:pPr>
              <w:spacing w:before="80" w:after="80"/>
            </w:pPr>
            <w:r>
              <w:rPr>
                <w:b/>
                <w:color w:val="FFFFFF"/>
              </w:rPr>
              <w:t>Módulo</w:t>
            </w:r>
          </w:p>
        </w:tc>
        <w:tc>
          <w:tcPr>
            <w:shd w:val="clear" w:color="auto" w:fill="0F172A"/>
          </w:tcPr>
          <w:p>
            <w:pPr>
              <w:spacing w:before="80" w:after="80"/>
            </w:pPr>
            <w:r>
              <w:rPr>
                <w:b/>
                <w:color w:val="FFFFFF"/>
              </w:rPr>
              <w:t>Objetivo Clave</w:t>
            </w:r>
          </w:p>
        </w:tc>
        <w:tc>
          <w:tcPr>
            <w:shd w:val="clear" w:color="auto" w:fill="0F172A"/>
          </w:tcPr>
          <w:p>
            <w:pPr>
              <w:spacing w:before="80" w:after="80"/>
            </w:pPr>
            <w:r>
              <w:rPr>
                <w:b/>
                <w:color w:val="FFFFFF"/>
              </w:rPr>
              <w:t>Beneficio Poblacional</w:t>
            </w:r>
          </w:p>
        </w:tc>
        <w:tc>
          <w:tcPr>
            <w:shd w:val="clear" w:color="auto" w:fill="0F172A"/>
          </w:tcPr>
          <w:p>
            <w:pPr>
              <w:spacing w:before="80" w:after="80"/>
            </w:pPr>
            <w:r>
              <w:rPr>
                <w:b/>
                <w:color w:val="FFFFFF"/>
              </w:rPr>
              <w:t>Ventaja Gubernamental</w:t>
            </w:r>
          </w:p>
        </w:tc>
      </w:tr>
      <w:tr>
        <w:tc>
          <w:tcPr>
            <w:shd w:val="clear" w:color="auto" w:fill="FFFFFF"/>
          </w:tcPr>
          <w:p>
            <w:pPr>
              <w:spacing w:before="60" w:after="60"/>
            </w:pPr>
            <w:r>
              <w:t>1. Despacho</w:t>
            </w:r>
          </w:p>
        </w:tc>
        <w:tc>
          <w:tcPr>
            <w:shd w:val="clear" w:color="auto" w:fill="FFFFFF"/>
          </w:tcPr>
          <w:p>
            <w:pPr>
              <w:spacing w:before="60" w:after="60"/>
            </w:pPr>
            <w:r>
              <w:t>Control de gestión y KPIs en vivo</w:t>
            </w:r>
          </w:p>
        </w:tc>
        <w:tc>
          <w:tcPr>
            <w:shd w:val="clear" w:color="auto" w:fill="FFFFFF"/>
          </w:tcPr>
          <w:p>
            <w:pPr>
              <w:spacing w:before="60" w:after="60"/>
            </w:pPr>
            <w:r>
              <w:t>Respuestas más rápidas a problemas comunitarios</w:t>
            </w:r>
          </w:p>
        </w:tc>
        <w:tc>
          <w:tcPr>
            <w:shd w:val="clear" w:color="auto" w:fill="FFFFFF"/>
          </w:tcPr>
          <w:p>
            <w:pPr>
              <w:spacing w:before="60" w:after="60"/>
            </w:pPr>
            <w:r>
              <w:t>Toma de decisiones en minutos con datos fiables</w:t>
            </w:r>
          </w:p>
        </w:tc>
      </w:tr>
      <w:tr>
        <w:tc>
          <w:tcPr>
            <w:shd w:val="clear" w:color="auto" w:fill="F8FAFC"/>
          </w:tcPr>
          <w:p>
            <w:pPr>
              <w:spacing w:before="60" w:after="60"/>
            </w:pPr>
            <w:r>
              <w:t>2. Censo Comunal</w:t>
            </w:r>
          </w:p>
        </w:tc>
        <w:tc>
          <w:tcPr>
            <w:shd w:val="clear" w:color="auto" w:fill="F8FAFC"/>
          </w:tcPr>
          <w:p>
            <w:pPr>
              <w:spacing w:before="60" w:after="60"/>
            </w:pPr>
            <w:r>
              <w:t>Empadronamiento social offline</w:t>
            </w:r>
          </w:p>
        </w:tc>
        <w:tc>
          <w:tcPr>
            <w:shd w:val="clear" w:color="auto" w:fill="F8FAFC"/>
          </w:tcPr>
          <w:p>
            <w:pPr>
              <w:spacing w:before="60" w:after="60"/>
            </w:pPr>
            <w:r>
              <w:t>Priorización de familias vulnerables y medicamentos</w:t>
            </w:r>
          </w:p>
        </w:tc>
        <w:tc>
          <w:tcPr>
            <w:shd w:val="clear" w:color="auto" w:fill="F8FAFC"/>
          </w:tcPr>
          <w:p>
            <w:pPr>
              <w:spacing w:before="60" w:after="60"/>
            </w:pPr>
            <w:r>
              <w:t>Eliminación de intermediarios y distribución eficiente</w:t>
            </w:r>
          </w:p>
        </w:tc>
      </w:tr>
      <w:tr>
        <w:tc>
          <w:tcPr>
            <w:shd w:val="clear" w:color="auto" w:fill="FFFFFF"/>
          </w:tcPr>
          <w:p>
            <w:pPr>
              <w:spacing w:before="60" w:after="60"/>
            </w:pPr>
            <w:r>
              <w:t>3. Auditoría CNE</w:t>
            </w:r>
          </w:p>
        </w:tc>
        <w:tc>
          <w:tcPr>
            <w:shd w:val="clear" w:color="auto" w:fill="FFFFFF"/>
          </w:tcPr>
          <w:p>
            <w:pPr>
              <w:spacing w:before="60" w:after="60"/>
            </w:pPr>
            <w:r>
              <w:t>Monitoreo electoral transparente</w:t>
            </w:r>
          </w:p>
        </w:tc>
        <w:tc>
          <w:tcPr>
            <w:shd w:val="clear" w:color="auto" w:fill="FFFFFF"/>
          </w:tcPr>
          <w:p>
            <w:pPr>
              <w:spacing w:before="60" w:after="60"/>
            </w:pPr>
            <w:r>
              <w:t>Confianza cívica y preservación de la paz</w:t>
            </w:r>
          </w:p>
        </w:tc>
        <w:tc>
          <w:tcPr>
            <w:shd w:val="clear" w:color="auto" w:fill="FFFFFF"/>
          </w:tcPr>
          <w:p>
            <w:pPr>
              <w:spacing w:before="60" w:after="60"/>
            </w:pPr>
            <w:r>
              <w:t>Soporte técnico blindado ante cualquier auditoría</w:t>
            </w:r>
          </w:p>
        </w:tc>
      </w:tr>
      <w:tr>
        <w:tc>
          <w:tcPr>
            <w:shd w:val="clear" w:color="auto" w:fill="F8FAFC"/>
          </w:tcPr>
          <w:p>
            <w:pPr>
              <w:spacing w:before="60" w:after="60"/>
            </w:pPr>
            <w:r>
              <w:t>4. Cartografía 3D</w:t>
            </w:r>
          </w:p>
        </w:tc>
        <w:tc>
          <w:tcPr>
            <w:shd w:val="clear" w:color="auto" w:fill="F8FAFC"/>
          </w:tcPr>
          <w:p>
            <w:pPr>
              <w:spacing w:before="60" w:after="60"/>
            </w:pPr>
            <w:r>
              <w:t>Gemelo digital de la infraestructura</w:t>
            </w:r>
          </w:p>
        </w:tc>
        <w:tc>
          <w:tcPr>
            <w:shd w:val="clear" w:color="auto" w:fill="F8FAFC"/>
          </w:tcPr>
          <w:p>
            <w:pPr>
              <w:spacing w:before="60" w:after="60"/>
            </w:pPr>
            <w:r>
              <w:t>Seguridad urbana y mitigación de inundaciones</w:t>
            </w:r>
          </w:p>
        </w:tc>
        <w:tc>
          <w:tcPr>
            <w:shd w:val="clear" w:color="auto" w:fill="F8FAFC"/>
          </w:tcPr>
          <w:p>
            <w:pPr>
              <w:spacing w:before="60" w:after="60"/>
            </w:pPr>
            <w:r>
              <w:t>Planificación de obras públicas con precisión milimétrica</w:t>
            </w:r>
          </w:p>
        </w:tc>
      </w:tr>
    </w:tbl>
    <w:p>
      <w:pPr>
        <w:pStyle w:val="Heading1"/>
      </w:pPr>
      <w:r>
        <w:t>4. Plan de Despliegue y Viabilidad Técnica</w:t>
      </w:r>
    </w:p>
    <w:p>
      <w:r>
        <w:t>El sistema ha sido concebido para operar bajo una arquitectura soberana, modular e independiente, garantizando la continuidad operativa del Estado Monagas sin requerir contratación de servicios externos foráneos.</w:t>
      </w:r>
    </w:p>
    <w:p>
      <w:pPr>
        <w:ind w:left="400"/>
        <w:spacing w:after="80"/>
      </w:pPr>
      <w:r>
        <w:rPr>
          <w:b/>
          <w:color w:val="1E3A8A"/>
        </w:rPr>
        <w:t>▪ Fase 1 (Semanas 1-2): </w:t>
      </w:r>
      <w:r>
        <w:t>Despliegue de servidores locales en la Gobernación y capacitación del equipo de Despacho.</w:t>
      </w:r>
    </w:p>
    <w:p>
      <w:pPr>
        <w:ind w:left="400"/>
        <w:spacing w:after="80"/>
      </w:pPr>
      <w:r>
        <w:rPr>
          <w:b/>
          <w:color w:val="1E3A8A"/>
        </w:rPr>
        <w:t>▪ Fase 2 (Semanas 3-4): </w:t>
      </w:r>
      <w:r>
        <w:t>Entrega de la aplicación móvil de Censo a los promotores comunales y prueba piloto en 3 parroquias.</w:t>
      </w:r>
    </w:p>
    <w:p>
      <w:pPr>
        <w:ind w:left="400"/>
        <w:spacing w:after="80"/>
      </w:pPr>
      <w:r>
        <w:rPr>
          <w:b/>
          <w:color w:val="1E3A8A"/>
        </w:rPr>
        <w:t>▪ Fase 3 (Mes 2): </w:t>
      </w:r>
      <w:r>
        <w:t>Integración del gemelo digital 3D y simulaciones con Protección Civil y Obras Públicas.</w:t>
      </w:r>
    </w:p>
    <w:p>
      <w:pPr>
        <w:pBdr>
          <w:left w:val="single" w:sz="24" w:space="15" w:color="1E3A8A"/>
        </w:pBdr>
        <w:shd w:val="clear" w:color="auto" w:fill="F1F5F9"/>
        <w:spacing w:before="120" w:after="120"/>
      </w:pPr>
      <w:r>
        <w:rPr>
          <w:i/>
          <w:color w:val="1E293B"/>
        </w:rPr>
        <w:t>Conclusión: El Proyecto MIGATO posiciona a Monagas como el primer estado de Venezuela en contar con un sistema unificado de inteligencia territorial, control de gestión y atención comunal de última generación.</w:t>
      </w: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color w:val="1E293B"/>
      </w:rPr>
    </w:rPrDefault>
    <w:pPrDefault>
      <w:pPr>
        <w:spacing w:line="276" w:lineRule="auto" w:after="160"/>
      </w:pPr>
    </w:pPrDefault>
  </w:docDefaults>
  <w:style w:type="paragraph" w:styleId="Heading1">
    <w:name w:val="heading 1"/>
    <w:pPr>
      <w:spacing w:before="360" w:after="160"/>
    </w:pPr>
    <w:rPr>
      <w:b/>
      <w:color w:val="0F172A"/>
      <w:sz w:val="36"/>
    </w:rPr>
  </w:style>
  <w:style w:type="paragraph" w:styleId="Heading2">
    <w:name w:val="heading 2"/>
    <w:pPr>
      <w:spacing w:before="240" w:after="120"/>
    </w:pPr>
    <w:rPr>
      <w:b/>
      <w:color w:val="1E3A8A"/>
      <w:sz w:val="28"/>
    </w:rPr>
  </w:style>
  <w:style w:type="paragraph" w:styleId="Heading3">
    <w:name w:val="heading 3"/>
    <w:pPr>
      <w:spacing w:before="160" w:after="80"/>
    </w:pPr>
    <w:rPr>
      <w:b/>
      <w:color w:val="047857"/>
      <w:sz w:val="24"/>
    </w:rPr>
  </w:style>
</w:styles>
</file>

<file path=word/_rels/document.xml.rels><?xml version="1.0" encoding="UTF-8" standalone="yes"?>
<Relationships xmlns="http://schemas.openxmlformats.org/package/2006/relationships">
  <Relationship Id="rId2" Type="http://schemas.openxmlformats.org/officeDocument/2006/relationships/styles" Target="styles.xml"/>
</Relationships>
</file>