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40" w:after="40"/>
      </w:pPr>
      <w:r>
        <w:rPr>
          <w:b/>
          <w:color w:val="64748B"/>
          <w:sz w:val="18"/>
        </w:rPr>
        <w:t>REPÚBLICA BOLIVARIANA DE VENEZUELA • GOBERNACIÓN DEL ESTADO MONAGAS</w:t>
      </w:r>
    </w:p>
    <w:p>
      <w:pPr>
        <w:jc w:val="center"/>
        <w:spacing w:before="40" w:after="120"/>
      </w:pPr>
      <w:r>
        <w:rPr>
          <w:b/>
          <w:color w:val="0F172A"/>
          <w:sz w:val="32"/>
        </w:rPr>
        <w:t>PROYECTO MIGATO: SISTEMA INTEGRAL DE GOBIERNO DIGITAL</w:t>
      </w:r>
    </w:p>
    <w:p>
      <w:pPr>
        <w:pBdr>
          <w:left w:val="single" w:sz="24" w:space="12" w:color="1E3A8A"/>
        </w:pBdr>
        <w:shd w:val="clear" w:color="auto" w:fill="F1F5F9"/>
        <w:spacing w:before="80" w:after="80"/>
      </w:pPr>
      <w:r>
        <w:rPr>
          <w:i/>
          <w:color w:val="1E293B"/>
          <w:sz w:val="19"/>
        </w:rPr>
        <w:t>Documento Oficial: DOC-GOB-MIGATO-2026-REV2 | Clasificación: Uso Ejecutivo y Toma de Decisiones | Estado Monagas</w:t>
      </w:r>
    </w:p>
    <w:p>
      <w:pPr>
        <w:pStyle w:val="Heading1"/>
      </w:pPr>
      <w:r>
        <w:t>1. Resumen Ejecutivo de Alto Nivel</w:t>
      </w:r>
    </w:p>
    <w:p>
      <w:pPr>
        <w:jc w:val="both"/>
        <w:spacing w:after="70"/>
      </w:pPr>
      <w:r>
        <w:t>El Proyecto MIGATO (Módulo Integral de Gestión, Auditoría y Territorio Organizado) representa el salto estratégico hacia la modernización del Estado Monagas. Unifica en una sola plataforma de soberanía tecnológica cuatro ejes vitales de la gestión pública, sustituyendo la burocracia en papel por un sistema en tiempo real que permite al Gobernador y a su gabinete tomar decisiones informadas con rigor científico y sensibilidad social.</w:t>
      </w:r>
    </w:p>
    <w:p>
      <w:pPr>
        <w:ind w:left="300"/>
        <w:spacing w:after="50"/>
      </w:pPr>
      <w:r>
        <w:rPr>
          <w:b/>
          <w:color w:val="1E3A8A"/>
        </w:rPr>
        <w:t xml:space="preserve">▪ Soberanía y Seguridad: </w:t>
      </w:r>
      <w:r>
        <w:t>Desarrollado sobre estándares abiertos y seguros, sin pago de licencias en divisas ni dependencia extranjera.</w:t>
      </w:r>
    </w:p>
    <w:p>
      <w:pPr>
        <w:ind w:left="300"/>
        <w:spacing w:after="50"/>
      </w:pPr>
      <w:r>
        <w:rPr>
          <w:b/>
          <w:color w:val="1E3A8A"/>
        </w:rPr>
        <w:t xml:space="preserve">▪ Decisiones en Tiempo Real: </w:t>
      </w:r>
      <w:r>
        <w:t>Sustituye informes estáticos y retrasados por un panel dinámico con indicadores y alertas tempranas inmediatas.</w:t>
      </w:r>
    </w:p>
    <w:p>
      <w:pPr>
        <w:ind w:left="300"/>
        <w:spacing w:after="50"/>
      </w:pPr>
      <w:r>
        <w:rPr>
          <w:b/>
          <w:color w:val="1E3A8A"/>
        </w:rPr>
        <w:t xml:space="preserve">▪ Poder Popular Conectado: </w:t>
      </w:r>
      <w:r>
        <w:t>Censo territorial con capacidad de operar sin conexión a internet y sincronización automática al servidor central.</w:t>
      </w:r>
    </w:p>
    <w:p>
      <w:pPr>
        <w:ind w:left="300"/>
        <w:spacing w:after="50"/>
      </w:pPr>
      <w:r>
        <w:rPr>
          <w:b/>
          <w:color w:val="1E3A8A"/>
        </w:rPr>
        <w:t xml:space="preserve">▪ Transparencia Total: </w:t>
      </w:r>
      <w:r>
        <w:t>Auditoría ciudadana y electoral verificable con soporte técnico blindado y cartografía 3D de alta precisión.</w:t>
      </w:r>
    </w:p>
    <w:p>
      <w:pPr>
        <w:pStyle w:val="Heading1"/>
      </w:pPr>
      <w:r>
        <w:t>2. Ejes Estratégicos del Proyecto</w:t>
      </w:r>
    </w:p>
    <w:p>
      <w:pPr>
        <w:jc w:val="both"/>
        <w:spacing w:after="70"/>
      </w:pPr>
      <w:r>
        <w:t>MIGATO no es un simple programa informático; es un ecosistema institucional que integra la Sala Situacional del Despacho, la atención directa a las comunidades, la garantía democrática electoral y la gestión del territorio en un gemelo digital interactivo.</w:t>
      </w:r>
    </w:p>
    <w:p>
      <w:r>
        <w:br w:type="page"/>
      </w:r>
    </w:p>
    <w:p>
      <w:pPr>
        <w:pStyle w:val="Heading1"/>
      </w:pPr>
      <w:r>
        <w:t>3. Los Cuatro Módulos Operativos</w:t>
      </w:r>
    </w:p>
    <w:p>
      <w:pPr>
        <w:pStyle w:val="Heading2"/>
      </w:pPr>
      <w:r>
        <w:t>Módulo 1: Despacho del Gobernador y Sala Situacional</w:t>
      </w:r>
    </w:p>
    <w:p>
      <w:pPr>
        <w:jc w:val="both"/>
        <w:spacing w:after="70"/>
      </w:pPr>
      <w:r>
        <w:t>Centro de mando estratégico para supervisar el estado general de Monagas en una sola pantalla unificada.</w:t>
      </w:r>
    </w:p>
    <w:p>
      <w:pPr>
        <w:ind w:left="300"/>
        <w:spacing w:after="50"/>
      </w:pPr>
      <w:r>
        <w:rPr>
          <w:b/>
          <w:color w:val="1E3A8A"/>
        </w:rPr>
        <w:t xml:space="preserve">▪ ¿Qué hace?: </w:t>
      </w:r>
      <w:r>
        <w:t>Monitorea en vivo servicios básicos (agua, electricidad, gas), red hospitalaria, seguridad y ejecución de obras.</w:t>
      </w:r>
    </w:p>
    <w:p>
      <w:pPr>
        <w:ind w:left="300"/>
        <w:spacing w:after="50"/>
      </w:pPr>
      <w:r>
        <w:rPr>
          <w:b/>
          <w:color w:val="1E3A8A"/>
        </w:rPr>
        <w:t xml:space="preserve">▪ Beneficio para el Gobernador: </w:t>
      </w:r>
      <w:r>
        <w:t>Detección inmediata de fallas y emisión directa de órdenes de trabajo con seguimiento digital de cumplimiento.</w:t>
      </w:r>
    </w:p>
    <w:p>
      <w:pPr>
        <w:pStyle w:val="Heading2"/>
      </w:pPr>
      <w:r>
        <w:t>Módulo 2: Censo Comunal y Registro Ciudadano</w:t>
      </w:r>
    </w:p>
    <w:p>
      <w:pPr>
        <w:jc w:val="both"/>
        <w:spacing w:after="70"/>
      </w:pPr>
      <w:r>
        <w:t>Herramienta de empadronamiento social para conectar al Poder Popular directamente con la Gobernación.</w:t>
      </w:r>
    </w:p>
    <w:p>
      <w:pPr>
        <w:ind w:left="300"/>
        <w:spacing w:after="50"/>
      </w:pPr>
      <w:r>
        <w:rPr>
          <w:b/>
          <w:color w:val="1E3A8A"/>
        </w:rPr>
        <w:t xml:space="preserve">▪ ¿Qué hace?: </w:t>
      </w:r>
      <w:r>
        <w:t>Levantamiento casa por casa de datos socioeconómicos, personas vulnerables y requerimientos de medicamentos.</w:t>
      </w:r>
    </w:p>
    <w:p>
      <w:pPr>
        <w:ind w:left="300"/>
        <w:spacing w:after="50"/>
      </w:pPr>
      <w:r>
        <w:rPr>
          <w:b/>
          <w:color w:val="1E3A8A"/>
        </w:rPr>
        <w:t xml:space="preserve">▪ Capacidad Offline: </w:t>
      </w:r>
      <w:r>
        <w:t>Opera en sectores sin cobertura celular; al detectar señal, los datos se sincronizan solos al servidor central.</w:t>
      </w:r>
    </w:p>
    <w:p>
      <w:pPr>
        <w:ind w:left="300"/>
        <w:spacing w:after="50"/>
      </w:pPr>
      <w:r>
        <w:rPr>
          <w:b/>
          <w:color w:val="1E3A8A"/>
        </w:rPr>
        <w:t xml:space="preserve">▪ Beneficio Social: </w:t>
      </w:r>
      <w:r>
        <w:t>Elimina intermediarios y duplicidades, asegurando que las ayudas lleguen a quienes verdaderamente las necesitan.</w:t>
      </w:r>
    </w:p>
    <w:p>
      <w:pPr>
        <w:pStyle w:val="Heading2"/>
      </w:pPr>
      <w:r>
        <w:t>Módulo 3: Auditoría y Monitoreo Electoral CNE</w:t>
      </w:r>
    </w:p>
    <w:p>
      <w:pPr>
        <w:jc w:val="both"/>
        <w:spacing w:after="70"/>
      </w:pPr>
      <w:r>
        <w:t>Sistema de acompañamiento cívico para salvaguardar la transparencia en los procesos electorales.</w:t>
      </w:r>
    </w:p>
    <w:p>
      <w:pPr>
        <w:ind w:left="300"/>
        <w:spacing w:after="50"/>
      </w:pPr>
      <w:r>
        <w:rPr>
          <w:b/>
          <w:color w:val="1E3A8A"/>
        </w:rPr>
        <w:t xml:space="preserve">▪ ¿Qué hace?: </w:t>
      </w:r>
      <w:r>
        <w:t>Monitoreo del 100% de centros de votación y mesas electorales de Monagas, verificando actas e incidencias.</w:t>
      </w:r>
    </w:p>
    <w:p>
      <w:pPr>
        <w:ind w:left="300"/>
        <w:spacing w:after="50"/>
      </w:pPr>
      <w:r>
        <w:rPr>
          <w:b/>
          <w:color w:val="1E3A8A"/>
        </w:rPr>
        <w:t xml:space="preserve">▪ Garantía Democrática: </w:t>
      </w:r>
      <w:r>
        <w:t>Proporciona respaldo técnico y estadístico blindado para garantizar la tranquilidad y paz institucional.</w:t>
      </w:r>
    </w:p>
    <w:p>
      <w:pPr>
        <w:pStyle w:val="Heading2"/>
      </w:pPr>
      <w:r>
        <w:t>Módulo 4: Cartografía Digital 3D y Gemelo Digital</w:t>
      </w:r>
    </w:p>
    <w:p>
      <w:pPr>
        <w:jc w:val="both"/>
        <w:spacing w:after="70"/>
      </w:pPr>
      <w:r>
        <w:t>Modelo tridimensional georreferenciado de Maturín para la planificación urbana y prevención de desastres.</w:t>
      </w:r>
    </w:p>
    <w:p>
      <w:pPr>
        <w:ind w:left="300"/>
        <w:spacing w:after="50"/>
      </w:pPr>
      <w:r>
        <w:rPr>
          <w:b/>
          <w:color w:val="1E3A8A"/>
        </w:rPr>
        <w:t xml:space="preserve">▪ ¿Qué hace?: </w:t>
      </w:r>
      <w:r>
        <w:t>Muestra la topografía, drenajes, tendido eléctrico, vialidad y simula riesgos de inundación en temporada de lluvias.</w:t>
      </w:r>
    </w:p>
    <w:p>
      <w:pPr>
        <w:ind w:left="300"/>
        <w:spacing w:after="50"/>
      </w:pPr>
      <w:r>
        <w:rPr>
          <w:b/>
          <w:color w:val="1E3A8A"/>
        </w:rPr>
        <w:t xml:space="preserve">▪ Impacto Urbano: </w:t>
      </w:r>
      <w:r>
        <w:t>Planificación científica de rutas de aseo urbano, mantenimiento de quebradas y obras públicas prioritarias.</w:t>
      </w:r>
    </w:p>
    <w:p>
      <w:r>
        <w:br w:type="page"/>
      </w:r>
    </w:p>
    <w:p>
      <w:pPr>
        <w:pStyle w:val="Heading1"/>
      </w:pPr>
      <w:r>
        <w:t>4. Matriz de Impacto Gubernamental</w:t>
      </w:r>
    </w:p>
    <w:tbl>
      <w:tblPr>
        <w:tblW w:w="5000" w:type="pct"/>
        <w:tblBorders>
          <w:top w:val="single" w:sz="6" w:color="CBD5E1"/>
          <w:bottom w:val="single" w:sz="6" w:color="CBD5E1"/>
          <w:insideH w:val="single" w:sz="4" w:color="E2E8F0"/>
        </w:tblBorders>
      </w:tblPr>
      <w:tr>
        <w:trPr>
          <w:tblHeader/>
        </w:trPr>
        <w:tc>
          <w:tcPr>
            <w:shd w:val="clear" w:color="auto" w:fill="0F172A"/>
          </w:tcPr>
          <w:p>
            <w:pPr>
              <w:spacing w:before="60" w:after="60"/>
            </w:pPr>
            <w:r>
              <w:rPr>
                <w:b/>
                <w:color w:val="FFFFFF"/>
                <w:sz w:val="19"/>
              </w:rPr>
              <w:t>Módulo</w:t>
            </w:r>
          </w:p>
        </w:tc>
        <w:tc>
          <w:tcPr>
            <w:shd w:val="clear" w:color="auto" w:fill="0F172A"/>
          </w:tcPr>
          <w:p>
            <w:pPr>
              <w:spacing w:before="60" w:after="60"/>
            </w:pPr>
            <w:r>
              <w:rPr>
                <w:b/>
                <w:color w:val="FFFFFF"/>
                <w:sz w:val="19"/>
              </w:rPr>
              <w:t>Objetivo Clave</w:t>
            </w:r>
          </w:p>
        </w:tc>
        <w:tc>
          <w:tcPr>
            <w:shd w:val="clear" w:color="auto" w:fill="0F172A"/>
          </w:tcPr>
          <w:p>
            <w:pPr>
              <w:spacing w:before="60" w:after="60"/>
            </w:pPr>
            <w:r>
              <w:rPr>
                <w:b/>
                <w:color w:val="FFFFFF"/>
                <w:sz w:val="19"/>
              </w:rPr>
              <w:t>Beneficio Poblacional</w:t>
            </w:r>
          </w:p>
        </w:tc>
        <w:tc>
          <w:tcPr>
            <w:shd w:val="clear" w:color="auto" w:fill="0F172A"/>
          </w:tcPr>
          <w:p>
            <w:pPr>
              <w:spacing w:before="60" w:after="60"/>
            </w:pPr>
            <w:r>
              <w:rPr>
                <w:b/>
                <w:color w:val="FFFFFF"/>
                <w:sz w:val="19"/>
              </w:rPr>
              <w:t>Ventaja Gobernador</w:t>
            </w:r>
          </w:p>
        </w:tc>
      </w:tr>
      <w:tr>
        <w:tc>
          <w:tcPr>
            <w:shd w:val="clear" w:color="auto" w:fill="FFFFFF"/>
          </w:tcPr>
          <w:p>
            <w:pPr>
              <w:spacing w:before="40" w:after="40"/>
            </w:pPr>
            <w:r>
              <w:rPr>
                <w:sz w:val="18"/>
              </w:rPr>
              <w:t>1. Despacho</w:t>
            </w:r>
          </w:p>
        </w:tc>
        <w:tc>
          <w:tcPr>
            <w:shd w:val="clear" w:color="auto" w:fill="FFFFFF"/>
          </w:tcPr>
          <w:p>
            <w:pPr>
              <w:spacing w:before="40" w:after="40"/>
            </w:pPr>
            <w:r>
              <w:rPr>
                <w:sz w:val="18"/>
              </w:rPr>
              <w:t>Control de gestión y KPIs en vivo</w:t>
            </w:r>
          </w:p>
        </w:tc>
        <w:tc>
          <w:tcPr>
            <w:shd w:val="clear" w:color="auto" w:fill="FFFFFF"/>
          </w:tcPr>
          <w:p>
            <w:pPr>
              <w:spacing w:before="40" w:after="40"/>
            </w:pPr>
            <w:r>
              <w:rPr>
                <w:sz w:val="18"/>
              </w:rPr>
              <w:t>Respuestas más rápidas a problemas comunitarios</w:t>
            </w:r>
          </w:p>
        </w:tc>
        <w:tc>
          <w:tcPr>
            <w:shd w:val="clear" w:color="auto" w:fill="FFFFFF"/>
          </w:tcPr>
          <w:p>
            <w:pPr>
              <w:spacing w:before="40" w:after="40"/>
            </w:pPr>
            <w:r>
              <w:rPr>
                <w:sz w:val="18"/>
              </w:rPr>
              <w:t>Toma de decisiones en minutos con datos reales</w:t>
            </w:r>
          </w:p>
        </w:tc>
      </w:tr>
      <w:tr>
        <w:tc>
          <w:tcPr>
            <w:shd w:val="clear" w:color="auto" w:fill="F8FAFC"/>
          </w:tcPr>
          <w:p>
            <w:pPr>
              <w:spacing w:before="40" w:after="40"/>
            </w:pPr>
            <w:r>
              <w:rPr>
                <w:sz w:val="18"/>
              </w:rPr>
              <w:t>2. Censo Comunal</w:t>
            </w:r>
          </w:p>
        </w:tc>
        <w:tc>
          <w:tcPr>
            <w:shd w:val="clear" w:color="auto" w:fill="F8FAFC"/>
          </w:tcPr>
          <w:p>
            <w:pPr>
              <w:spacing w:before="40" w:after="40"/>
            </w:pPr>
            <w:r>
              <w:rPr>
                <w:sz w:val="18"/>
              </w:rPr>
              <w:t>Empadronamiento social offline</w:t>
            </w:r>
          </w:p>
        </w:tc>
        <w:tc>
          <w:tcPr>
            <w:shd w:val="clear" w:color="auto" w:fill="F8FAFC"/>
          </w:tcPr>
          <w:p>
            <w:pPr>
              <w:spacing w:before="40" w:after="40"/>
            </w:pPr>
            <w:r>
              <w:rPr>
                <w:sz w:val="18"/>
              </w:rPr>
              <w:t>Priorización de familias vulnerables y medicinas</w:t>
            </w:r>
          </w:p>
        </w:tc>
        <w:tc>
          <w:tcPr>
            <w:shd w:val="clear" w:color="auto" w:fill="F8FAFC"/>
          </w:tcPr>
          <w:p>
            <w:pPr>
              <w:spacing w:before="40" w:after="40"/>
            </w:pPr>
            <w:r>
              <w:rPr>
                <w:sz w:val="18"/>
              </w:rPr>
              <w:t>Eliminación de intermediarios y asignación justa</w:t>
            </w:r>
          </w:p>
        </w:tc>
      </w:tr>
      <w:tr>
        <w:tc>
          <w:tcPr>
            <w:shd w:val="clear" w:color="auto" w:fill="FFFFFF"/>
          </w:tcPr>
          <w:p>
            <w:pPr>
              <w:spacing w:before="40" w:after="40"/>
            </w:pPr>
            <w:r>
              <w:rPr>
                <w:sz w:val="18"/>
              </w:rPr>
              <w:t>3. Auditoría CNE</w:t>
            </w:r>
          </w:p>
        </w:tc>
        <w:tc>
          <w:tcPr>
            <w:shd w:val="clear" w:color="auto" w:fill="FFFFFF"/>
          </w:tcPr>
          <w:p>
            <w:pPr>
              <w:spacing w:before="40" w:after="40"/>
            </w:pPr>
            <w:r>
              <w:rPr>
                <w:sz w:val="18"/>
              </w:rPr>
              <w:t>Monitoreo electoral transparente</w:t>
            </w:r>
          </w:p>
        </w:tc>
        <w:tc>
          <w:tcPr>
            <w:shd w:val="clear" w:color="auto" w:fill="FFFFFF"/>
          </w:tcPr>
          <w:p>
            <w:pPr>
              <w:spacing w:before="40" w:after="40"/>
            </w:pPr>
            <w:r>
              <w:rPr>
                <w:sz w:val="18"/>
              </w:rPr>
              <w:t>Confianza cívica y preservación de la paz</w:t>
            </w:r>
          </w:p>
        </w:tc>
        <w:tc>
          <w:tcPr>
            <w:shd w:val="clear" w:color="auto" w:fill="FFFFFF"/>
          </w:tcPr>
          <w:p>
            <w:pPr>
              <w:spacing w:before="40" w:after="40"/>
            </w:pPr>
            <w:r>
              <w:rPr>
                <w:sz w:val="18"/>
              </w:rPr>
              <w:t>Soporte técnico blindado ante cualquier auditoría</w:t>
            </w:r>
          </w:p>
        </w:tc>
      </w:tr>
      <w:tr>
        <w:tc>
          <w:tcPr>
            <w:shd w:val="clear" w:color="auto" w:fill="F8FAFC"/>
          </w:tcPr>
          <w:p>
            <w:pPr>
              <w:spacing w:before="40" w:after="40"/>
            </w:pPr>
            <w:r>
              <w:rPr>
                <w:sz w:val="18"/>
              </w:rPr>
              <w:t>4. Cartografía 3D</w:t>
            </w:r>
          </w:p>
        </w:tc>
        <w:tc>
          <w:tcPr>
            <w:shd w:val="clear" w:color="auto" w:fill="F8FAFC"/>
          </w:tcPr>
          <w:p>
            <w:pPr>
              <w:spacing w:before="40" w:after="40"/>
            </w:pPr>
            <w:r>
              <w:rPr>
                <w:sz w:val="18"/>
              </w:rPr>
              <w:t>Gemelo digital urbano</w:t>
            </w:r>
          </w:p>
        </w:tc>
        <w:tc>
          <w:tcPr>
            <w:shd w:val="clear" w:color="auto" w:fill="F8FAFC"/>
          </w:tcPr>
          <w:p>
            <w:pPr>
              <w:spacing w:before="40" w:after="40"/>
            </w:pPr>
            <w:r>
              <w:rPr>
                <w:sz w:val="18"/>
              </w:rPr>
              <w:t>Seguridad preventiva ante inundaciones y fallas</w:t>
            </w:r>
          </w:p>
        </w:tc>
        <w:tc>
          <w:tcPr>
            <w:shd w:val="clear" w:color="auto" w:fill="F8FAFC"/>
          </w:tcPr>
          <w:p>
            <w:pPr>
              <w:spacing w:before="40" w:after="40"/>
            </w:pPr>
            <w:r>
              <w:rPr>
                <w:sz w:val="18"/>
              </w:rPr>
              <w:t>Planificación de obras con precisión milimétrica</w:t>
            </w:r>
          </w:p>
        </w:tc>
      </w:tr>
    </w:tbl>
    <w:p>
      <w:pPr>
        <w:pStyle w:val="Heading1"/>
      </w:pPr>
      <w:r>
        <w:t>5. Viabilidad Técnica y Continuidad Operativa</w:t>
      </w:r>
    </w:p>
    <w:p>
      <w:pPr>
        <w:ind w:left="300"/>
        <w:spacing w:after="50"/>
      </w:pPr>
      <w:r>
        <w:rPr>
          <w:b/>
          <w:color w:val="1E3A8A"/>
        </w:rPr>
        <w:t xml:space="preserve">▪ Arquitectura Soberana: </w:t>
      </w:r>
      <w:r>
        <w:t>Instalable en servidores propios de la Gobernación del Estado Monagas sin costos recurrentes.</w:t>
      </w:r>
    </w:p>
    <w:p>
      <w:pPr>
        <w:ind w:left="300"/>
        <w:spacing w:after="50"/>
      </w:pPr>
      <w:r>
        <w:rPr>
          <w:b/>
          <w:color w:val="1E3A8A"/>
        </w:rPr>
        <w:t xml:space="preserve">▪ Fácil Adopción: </w:t>
      </w:r>
      <w:r>
        <w:t>Diseñado con interfaces amigables para funcionarios y promotores sociales sin formación técnica previa.</w:t>
      </w:r>
    </w:p>
    <w:p>
      <w:pPr>
        <w:pBdr>
          <w:left w:val="single" w:sz="24" w:space="12" w:color="1E3A8A"/>
        </w:pBdr>
        <w:shd w:val="clear" w:color="auto" w:fill="F1F5F9"/>
        <w:spacing w:before="80" w:after="80"/>
      </w:pPr>
      <w:r>
        <w:rPr>
          <w:i/>
          <w:color w:val="1E293B"/>
          <w:sz w:val="19"/>
        </w:rPr>
        <w:t>Conclusión: MIGATO posiciona a Monagas como el estado pionero en soberanía de datos y gestión pública digital en Venezuela, combinando rigor técnico con profundo impacto humano.</w:t>
      </w:r>
    </w:p>
    <w:tbl>
      <w:tblPr>
        <w:tblW w:w="5000" w:type="pct"/>
        <w:tblBorders>
          <w:top w:val="none"/>
          <w:bottom w:val="none"/>
          <w:left w:val="none"/>
          <w:right w:val="none"/>
          <w:insideH w:val="none"/>
          <w:insideV w:val="none"/>
        </w:tblBorders>
      </w:tblPr>
      <w:tr>
        <w:tc>
          <w:p>
            <w:pPr>
              <w:jc w:val="center"/>
              <w:spacing w:before="400" w:after="40"/>
            </w:pPr>
            <w:r>
              <w:t>__________________________________</w:t>
            </w:r>
          </w:p>
          <w:p>
            <w:pPr>
              <w:jc w:val="center"/>
              <w:spacing w:after="20"/>
            </w:pPr>
            <w:r>
              <w:rPr>
                <w:b/>
                <w:sz w:val="18"/>
              </w:rPr>
              <w:t>DESPACHO DEL GOBERNADOR</w:t>
            </w:r>
          </w:p>
          <w:p>
            <w:pPr>
              <w:jc w:val="center"/>
              <w:spacing w:after="20"/>
            </w:pPr>
            <w:r>
              <w:rPr>
                <w:color w:val="64748B"/>
                <w:sz w:val="16"/>
              </w:rPr>
              <w:t>Gobernación del Estado Monagas</w:t>
            </w:r>
          </w:p>
        </w:tc>
        <w:tc>
          <w:p>
            <w:pPr>
              <w:jc w:val="center"/>
              <w:spacing w:before="400" w:after="40"/>
            </w:pPr>
            <w:r>
              <w:t>__________________________________</w:t>
            </w:r>
          </w:p>
          <w:p>
            <w:pPr>
              <w:jc w:val="center"/>
              <w:spacing w:after="20"/>
            </w:pPr>
            <w:r>
              <w:rPr>
                <w:b/>
                <w:sz w:val="18"/>
              </w:rPr>
              <w:t>DIRECCIÓN TÉCNICA Y PROYECTOS</w:t>
            </w:r>
          </w:p>
          <w:p>
            <w:pPr>
              <w:jc w:val="center"/>
              <w:spacing w:after="20"/>
            </w:pPr>
            <w:r>
              <w:rPr>
                <w:color w:val="64748B"/>
                <w:sz w:val="16"/>
              </w:rPr>
              <w:t>Equipo Desarrollador MIGATO</w:t>
            </w:r>
          </w:p>
        </w:tc>
      </w:tr>
    </w:tbl>
    <w:sectPr>
      <w:pgSz w:w="12240" w:h="15840"/>
      <w:pgMar w:top="1100" w:right="1100" w:bottom="1100" w:left="1100"/>
    </w:sectPr>
  </w:body>
</w:document>
</file>

<file path=word/styles.xml><?xml version="1.0" encoding="utf-8"?>
<w:styles xmlns:w="http://schemas.openxmlformats.org/wordprocessingml/2006/main">
  <w:docDefaults>
    <w:rPrDefault>
      <w:rPr>
        <w:rFonts w:ascii="Calibri" w:hAnsi="Calibri" w:cs="Calibri"/>
        <w:sz w:val="21"/>
        <w:color w:val="1E293B"/>
      </w:rPr>
    </w:rPrDefault>
    <w:pPrDefault>
      <w:pPr>
        <w:spacing w:line="240" w:lineRule="auto" w:after="80"/>
      </w:pPr>
    </w:pPrDefault>
  </w:docDefaults>
  <w:style w:type="paragraph" w:styleId="Heading1">
    <w:name w:val="heading 1"/>
    <w:pPr>
      <w:spacing w:before="180" w:after="80"/>
    </w:pPr>
    <w:rPr>
      <w:b/>
      <w:color w:val="0F172A"/>
      <w:sz w:val="28"/>
    </w:rPr>
  </w:style>
  <w:style w:type="paragraph" w:styleId="Heading2">
    <w:name w:val="heading 2"/>
    <w:pPr>
      <w:spacing w:before="140" w:after="60"/>
    </w:pPr>
    <w:rPr>
      <w:b/>
      <w:color w:val="1E3A8A"/>
      <w:sz w:val="24"/>
    </w:rPr>
  </w:style>
  <w:style w:type="paragraph" w:styleId="Heading3">
    <w:name w:val="heading 3"/>
    <w:pPr>
      <w:spacing w:before="100" w:after="40"/>
    </w:pPr>
    <w:rPr>
      <w:b/>
      <w:color w:val="047857"/>
      <w:sz w:val="22"/>
    </w:rPr>
  </w:style>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