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8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805"/>
        <w:tblGridChange w:id="0">
          <w:tblGrid>
            <w:gridCol w:w="88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pStyle w:val="Heading1"/>
              <w:pBdr/>
              <w:contextualSpacing w:val="0"/>
              <w:jc w:val="center"/>
              <w:rPr>
                <w:b w:val="1"/>
                <w:sz w:val="24"/>
                <w:szCs w:val="24"/>
              </w:rPr>
            </w:pPr>
            <w:bookmarkStart w:colFirst="0" w:colLast="0" w:name="_cegq2zg5v4ji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POSTAR CONTEÚDO - Caso de Uso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Postar</w:t>
      </w:r>
      <w:r w:rsidDel="00000000" w:rsidR="00000000" w:rsidRPr="00000000">
        <w:rPr>
          <w:rtl w:val="0"/>
        </w:rPr>
        <w:t xml:space="preserve"> Conteúdo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SUCINTA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 Autor poderá adicionar conteúdos ao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 Autor.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 autor deverá estar autenticado no sistema.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Nenhuma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BÁSICO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À partir do menu de “Gerenciar conteúdos” seleciona a opção de “Adicionar Conteúdo”;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exibe uma tela onde pode-se selecionar o tipo de conteúdo (ePub, Mídias Reproduzíveis, etc.) que o Autor deseja adicionar.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Uma segunda tela aparece com uma opção de “fazer upload da mídia”.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seguinte passo é selecionar se a mídia é de livre acesso ou o acesso á ela é pago.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Caso a mídia seja livre de cobranças para seu acesso encerra-se o caso de uso.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Caso a mídia seja de acessos pago o Autor deverá preencher um formulário com o preço que deseja cobrar pela mídia sendo esse valor maior do que R$ 0,01.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exibirá uma tela com os termos e condições da transação onde existe opções de aceitar ou não os termos onde consta descrito responsabilidades e taxas de porcentagem sobre valor de mídia do tipo paga vendida.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caso de uso é encerrado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(A1)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Fluxo Alternativo ao passo 4.b - RN2 não é atendida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1.1 O Autor coloca o valor da mídia em R$0,00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1.2 O sistema exibe uma checkbox com a mensagem que esta mídia será livre com as opções de “Ok” ou a opção de “Trocar valor”.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REGRAS DE NEGÓCIO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(RN1) </w:t>
      </w:r>
      <w:r w:rsidDel="00000000" w:rsidR="00000000" w:rsidRPr="00000000">
        <w:rPr>
          <w:rtl w:val="0"/>
        </w:rPr>
        <w:t xml:space="preserve">Apenas o autor poderá adicionar mídias.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(RN2) </w:t>
      </w:r>
      <w:r w:rsidDel="00000000" w:rsidR="00000000" w:rsidRPr="00000000">
        <w:rPr>
          <w:rtl w:val="0"/>
        </w:rPr>
        <w:t xml:space="preserve">O valor da mídia paga deverá ser igual ou maior que R$0,01.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