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er4.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hd w:fill="auto" w:val="clear"/>
        </w:rPr>
      </w:pPr>
      <w:r>
        <w:rPr/>
        <w:drawing>
          <wp:inline distT="0" distB="0" distL="0" distR="0">
            <wp:extent cx="3057525" cy="739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57525" cy="739775"/>
                    </a:xfrm>
                    <a:prstGeom prst="rect">
                      <a:avLst/>
                    </a:prstGeom>
                  </pic:spPr>
                </pic:pic>
              </a:graphicData>
            </a:graphic>
          </wp:inline>
        </w:drawing>
      </w:r>
    </w:p>
    <w:p>
      <w:pPr>
        <w:pStyle w:val="Normal"/>
        <w:jc w:val="center"/>
        <w:rPr>
          <w:rFonts w:cs="Calibri" w:cstheme="minorHAnsi"/>
          <w:b/>
          <w:b/>
          <w:color w:val="A72986"/>
          <w:sz w:val="20"/>
          <w:szCs w:val="20"/>
          <w:shd w:fill="auto" w:val="clear"/>
        </w:rPr>
      </w:pPr>
      <w:r>
        <w:rPr>
          <w:rFonts w:cs="Calibri" w:cstheme="minorHAnsi"/>
          <w:b/>
          <w:color w:val="A72986"/>
          <w:sz w:val="20"/>
          <w:szCs w:val="20"/>
          <w:shd w:fill="auto" w:val="clear"/>
        </w:rPr>
      </w:r>
    </w:p>
    <w:p>
      <w:pPr>
        <w:pStyle w:val="Normal"/>
        <w:jc w:val="center"/>
        <w:rPr>
          <w:shd w:fill="auto" w:val="clear"/>
        </w:rPr>
      </w:pPr>
      <w:r>
        <w:rPr>
          <w:rFonts w:cs="Calibri" w:cstheme="minorHAnsi"/>
          <w:b/>
          <w:bCs/>
          <w:color w:val="A72986"/>
          <w:sz w:val="20"/>
          <w:szCs w:val="20"/>
          <w:shd w:fill="auto" w:val="clear"/>
        </w:rPr>
        <w:t>Professional Support Unit HEE Wessex</w:t>
      </w:r>
    </w:p>
    <w:p>
      <w:pPr>
        <w:pStyle w:val="Normal"/>
        <w:jc w:val="center"/>
        <w:rPr>
          <w:shd w:fill="auto" w:val="clear"/>
        </w:rPr>
      </w:pPr>
      <w:r>
        <w:rPr>
          <w:rFonts w:cs="Calibri" w:cstheme="minorHAnsi"/>
          <w:b/>
          <w:bCs/>
          <w:color w:val="1F497D" w:themeColor="text2"/>
          <w:sz w:val="20"/>
          <w:szCs w:val="20"/>
          <w:shd w:fill="auto" w:val="clear"/>
        </w:rPr>
        <w:t xml:space="preserve">Quality &amp; Governance Report currentYearSlash </w:t>
      </w:r>
    </w:p>
    <w:p>
      <w:pPr>
        <w:pStyle w:val="Normal"/>
        <w:jc w:val="center"/>
        <w:rPr>
          <w:shd w:fill="auto" w:val="clear"/>
        </w:rPr>
      </w:pPr>
      <w:r>
        <w:rPr>
          <w:rFonts w:cs="Calibri" w:cstheme="minorHAnsi"/>
          <w:b/>
          <w:bCs/>
          <w:color w:val="1F497D" w:themeColor="text2"/>
          <w:sz w:val="20"/>
          <w:szCs w:val="20"/>
          <w:shd w:fill="auto" w:val="clear"/>
        </w:rPr>
        <w:t>End of Year Update - 31 March currentYear</w:t>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shd w:fill="auto" w:val="clear"/>
        </w:rPr>
      </w:pPr>
      <w:r>
        <w:rPr>
          <w:b/>
          <w:bCs/>
          <w:sz w:val="20"/>
          <w:szCs w:val="20"/>
          <w:shd w:fill="auto" w:val="clear"/>
        </w:rPr>
        <w:t>Introduction</w:t>
      </w:r>
    </w:p>
    <w:p>
      <w:pPr>
        <w:pStyle w:val="Normal"/>
        <w:jc w:val="both"/>
        <w:rPr>
          <w:shd w:fill="auto" w:val="clear"/>
        </w:rPr>
      </w:pPr>
      <w:r>
        <w:rPr>
          <w:sz w:val="20"/>
          <w:szCs w:val="20"/>
          <w:shd w:fill="auto" w:val="clear"/>
        </w:rPr>
        <w:t>This report is a summary of selected areas of PSU practice which have been agreed as key indicators by the PSU Quality and Governance Group in the past. We present the report for information and for critical appraisal of the PSU performance over the financial year currentYearSlash.</w:t>
      </w:r>
    </w:p>
    <w:p>
      <w:pPr>
        <w:pStyle w:val="Normal"/>
        <w:jc w:val="both"/>
        <w:rPr>
          <w:shd w:fill="auto" w:val="clear"/>
        </w:rPr>
      </w:pPr>
      <w:r>
        <w:rPr>
          <w:sz w:val="20"/>
          <w:szCs w:val="20"/>
          <w:shd w:fill="auto" w:val="clear"/>
        </w:rPr>
        <w:t>The findings need to be seen within the Wessex PSU vision of empowering trainees to become great providers of health care and its mission statement: “We provide doctors and dentists in training in Wessex with focused support for their well-being and development.”</w:t>
      </w:r>
    </w:p>
    <w:p>
      <w:pPr>
        <w:pStyle w:val="Normal"/>
        <w:numPr>
          <w:ilvl w:val="0"/>
          <w:numId w:val="0"/>
        </w:numPr>
        <w:ind w:left="0" w:hanging="0"/>
        <w:jc w:val="both"/>
        <w:outlineLvl w:val="0"/>
        <w:rPr>
          <w:shd w:fill="auto" w:val="clear"/>
        </w:rPr>
      </w:pPr>
      <w:r>
        <w:rPr>
          <w:sz w:val="20"/>
          <w:szCs w:val="20"/>
          <w:shd w:fill="auto" w:val="clear"/>
        </w:rPr>
        <w:t xml:space="preserve">The findings should also assure our PSU principles are met: </w:t>
      </w:r>
    </w:p>
    <w:p>
      <w:pPr>
        <w:pStyle w:val="Normal"/>
        <w:numPr>
          <w:ilvl w:val="0"/>
          <w:numId w:val="2"/>
        </w:numPr>
        <w:outlineLvl w:val="0"/>
        <w:rPr>
          <w:shd w:fill="auto" w:val="clear"/>
        </w:rPr>
      </w:pPr>
      <w:r>
        <w:rPr>
          <w:sz w:val="20"/>
          <w:szCs w:val="20"/>
          <w:shd w:fill="auto" w:val="clear"/>
        </w:rPr>
        <w:t>No compromise on patient care</w:t>
      </w:r>
    </w:p>
    <w:p>
      <w:pPr>
        <w:pStyle w:val="Normal"/>
        <w:numPr>
          <w:ilvl w:val="0"/>
          <w:numId w:val="2"/>
        </w:numPr>
        <w:outlineLvl w:val="0"/>
        <w:rPr>
          <w:shd w:fill="auto" w:val="clear"/>
        </w:rPr>
      </w:pPr>
      <w:r>
        <w:rPr>
          <w:sz w:val="20"/>
          <w:szCs w:val="20"/>
          <w:shd w:fill="auto" w:val="clear"/>
        </w:rPr>
        <w:t>Transparent and understood by all</w:t>
      </w:r>
    </w:p>
    <w:p>
      <w:pPr>
        <w:pStyle w:val="Normal"/>
        <w:numPr>
          <w:ilvl w:val="0"/>
          <w:numId w:val="2"/>
        </w:numPr>
        <w:outlineLvl w:val="0"/>
        <w:rPr>
          <w:shd w:fill="auto" w:val="clear"/>
        </w:rPr>
      </w:pPr>
      <w:r>
        <w:rPr>
          <w:sz w:val="20"/>
          <w:szCs w:val="20"/>
          <w:shd w:fill="auto" w:val="clear"/>
        </w:rPr>
        <w:t>Evidence based</w:t>
      </w:r>
    </w:p>
    <w:p>
      <w:pPr>
        <w:pStyle w:val="Normal"/>
        <w:numPr>
          <w:ilvl w:val="0"/>
          <w:numId w:val="2"/>
        </w:numPr>
        <w:outlineLvl w:val="0"/>
        <w:rPr>
          <w:shd w:fill="auto" w:val="clear"/>
        </w:rPr>
      </w:pPr>
      <w:r>
        <w:rPr>
          <w:sz w:val="20"/>
          <w:szCs w:val="20"/>
          <w:shd w:fill="auto" w:val="clear"/>
        </w:rPr>
        <w:t>Clear criteria for assessment and decisions</w:t>
      </w:r>
    </w:p>
    <w:p>
      <w:pPr>
        <w:pStyle w:val="Normal"/>
        <w:numPr>
          <w:ilvl w:val="0"/>
          <w:numId w:val="2"/>
        </w:numPr>
        <w:outlineLvl w:val="0"/>
        <w:rPr>
          <w:shd w:fill="auto" w:val="clear"/>
        </w:rPr>
      </w:pPr>
      <w:r>
        <w:rPr>
          <w:sz w:val="20"/>
          <w:szCs w:val="20"/>
          <w:shd w:fill="auto" w:val="clear"/>
        </w:rPr>
        <w:t>Responsible use of funding and development</w:t>
      </w:r>
    </w:p>
    <w:p>
      <w:pPr>
        <w:pStyle w:val="Normal"/>
        <w:numPr>
          <w:ilvl w:val="0"/>
          <w:numId w:val="2"/>
        </w:numPr>
        <w:outlineLvl w:val="0"/>
        <w:rPr>
          <w:shd w:fill="auto" w:val="clear"/>
        </w:rPr>
      </w:pPr>
      <w:r>
        <w:rPr>
          <w:sz w:val="20"/>
          <w:szCs w:val="20"/>
          <w:shd w:fill="auto" w:val="clear"/>
        </w:rPr>
        <w:t>Consistent application of guidelines</w:t>
      </w:r>
    </w:p>
    <w:p>
      <w:pPr>
        <w:pStyle w:val="Normal"/>
        <w:numPr>
          <w:ilvl w:val="0"/>
          <w:numId w:val="0"/>
        </w:numPr>
        <w:ind w:left="0" w:hanging="0"/>
        <w:outlineLvl w:val="0"/>
        <w:rPr>
          <w:shd w:fill="auto" w:val="clear"/>
        </w:rPr>
      </w:pPr>
      <w:r>
        <w:rPr>
          <w:sz w:val="20"/>
          <w:szCs w:val="20"/>
          <w:shd w:fill="auto" w:val="clear"/>
        </w:rPr>
        <w:t xml:space="preserve">Going forward our vision is to utilise the three highlighted areas in this report as a guide for </w:t>
      </w:r>
      <w:r>
        <w:rPr>
          <w:rFonts w:eastAsia="ＭＳ 明朝" w:cs="Arial" w:eastAsiaTheme="minorEastAsia"/>
          <w:color w:val="000000"/>
          <w:kern w:val="0"/>
          <w:sz w:val="20"/>
          <w:szCs w:val="20"/>
          <w:shd w:fill="auto" w:val="clear"/>
          <w:lang w:val="en-GB" w:eastAsia="en-US" w:bidi="ar-SA"/>
        </w:rPr>
        <w:t>nextYearSlash</w:t>
      </w:r>
      <w:r>
        <w:rPr>
          <w:sz w:val="20"/>
          <w:szCs w:val="20"/>
          <w:shd w:fill="auto" w:val="clear"/>
        </w:rPr>
        <w:t xml:space="preserve"> These three areas are: </w:t>
      </w:r>
      <w:r>
        <w:rPr>
          <w:b/>
          <w:bCs/>
          <w:sz w:val="20"/>
          <w:szCs w:val="20"/>
          <w:shd w:fill="auto" w:val="clear"/>
        </w:rPr>
        <w:t>Exam support, Mental health and wellbeing and capability</w:t>
      </w:r>
      <w:r>
        <w:rPr>
          <w:sz w:val="20"/>
          <w:szCs w:val="20"/>
          <w:shd w:fill="auto" w:val="clear"/>
        </w:rPr>
        <w:t>. We will also be working to improve case managers selection process, ongoing support and quality monitoring.</w:t>
      </w:r>
    </w:p>
    <w:p>
      <w:pPr>
        <w:pStyle w:val="Normal"/>
        <w:numPr>
          <w:ilvl w:val="0"/>
          <w:numId w:val="0"/>
        </w:numPr>
        <w:ind w:left="0" w:hanging="0"/>
        <w:outlineLvl w:val="0"/>
        <w:rPr>
          <w:shd w:fill="auto" w:val="clear"/>
        </w:rPr>
      </w:pPr>
      <w:r>
        <w:rPr>
          <w:sz w:val="20"/>
          <w:szCs w:val="20"/>
          <w:shd w:fill="auto" w:val="clear"/>
        </w:rPr>
        <w:t>The PSU will be at the heart of HEE Wessex vision to identify early interventions to help trainees achieve a higher success rate.</w:t>
      </w:r>
    </w:p>
    <w:p>
      <w:pPr>
        <w:pStyle w:val="Normal"/>
        <w:rPr>
          <w:rFonts w:cs="Calibri" w:cstheme="minorHAnsi"/>
          <w:b/>
          <w:b/>
          <w:sz w:val="20"/>
          <w:szCs w:val="20"/>
          <w:shd w:fill="auto" w:val="clear"/>
        </w:rPr>
      </w:pPr>
      <w:r>
        <w:rPr>
          <w:rFonts w:cs="Calibri" w:cstheme="minorHAnsi"/>
          <w:b/>
          <w:sz w:val="20"/>
          <w:szCs w:val="20"/>
          <w:shd w:fill="auto" w:val="clear"/>
        </w:rPr>
      </w:r>
      <w:r>
        <w:br w:type="page"/>
      </w:r>
    </w:p>
    <w:p>
      <w:pPr>
        <w:pStyle w:val="Normal"/>
        <w:jc w:val="center"/>
        <w:rPr>
          <w:shd w:fill="auto" w:val="clear"/>
        </w:rPr>
      </w:pPr>
      <w:r>
        <w:rPr>
          <w:rFonts w:cs="Calibri" w:cstheme="minorHAnsi"/>
          <w:b/>
          <w:sz w:val="28"/>
          <w:szCs w:val="28"/>
          <w:u w:val="single"/>
          <w:shd w:fill="auto" w:val="clear"/>
        </w:rPr>
        <w:t>Section 1 – Referral management</w:t>
      </w:r>
    </w:p>
    <w:p>
      <w:pPr>
        <w:pStyle w:val="Normal"/>
        <w:rPr>
          <w:shd w:fill="auto" w:val="clear"/>
        </w:rPr>
      </w:pPr>
      <w:r>
        <w:rPr>
          <w:rFonts w:cs="Calibri" w:cstheme="minorHAnsi"/>
          <w:b/>
          <w:bCs/>
          <w:szCs w:val="20"/>
          <w:u w:val="single"/>
          <w:shd w:fill="auto" w:val="clear"/>
        </w:rPr>
        <w:t xml:space="preserve">New Referrals Financial Year </w:t>
      </w:r>
      <w:r>
        <w:rPr>
          <w:rFonts w:eastAsia="ＭＳ 明朝" w:cs="Calibri" w:cstheme="minorHAnsi"/>
          <w:b/>
          <w:bCs/>
          <w:color w:val="000000"/>
          <w:kern w:val="0"/>
          <w:sz w:val="22"/>
          <w:szCs w:val="20"/>
          <w:u w:val="single"/>
          <w:shd w:fill="auto" w:val="clear"/>
          <w:lang w:val="en-GB" w:eastAsia="en-US" w:bidi="ar-SA"/>
        </w:rPr>
        <w:t>currentYearSlash</w:t>
      </w:r>
    </w:p>
    <w:p>
      <w:pPr>
        <w:pStyle w:val="Normal"/>
        <w:spacing w:before="0" w:after="0"/>
        <w:rPr>
          <w:rFonts w:cs="Calibri" w:cstheme="minorHAnsi"/>
          <w:sz w:val="20"/>
          <w:szCs w:val="20"/>
          <w:shd w:fill="auto" w:val="clear"/>
        </w:rPr>
      </w:pPr>
      <w:r>
        <w:rPr>
          <w:rFonts w:cs="Calibri" w:cstheme="minorHAnsi"/>
          <w:sz w:val="20"/>
          <w:szCs w:val="20"/>
          <w:shd w:fill="auto" w:val="clear"/>
        </w:rPr>
      </w:r>
    </w:p>
    <w:p>
      <w:pPr>
        <w:pStyle w:val="Normal"/>
        <w:spacing w:before="0" w:after="0"/>
        <w:rPr>
          <w:shd w:fill="auto" w:val="clear"/>
        </w:rPr>
      </w:pPr>
      <w:r>
        <w:rPr>
          <w:sz w:val="20"/>
          <w:szCs w:val="20"/>
          <w:shd w:fill="auto" w:val="clear"/>
        </w:rPr>
        <w:t>The PSU has received 147 new referrals over the last financial year (currentYearSlash), 131 were triaged for PSU support. There were 2619 trainees recorded on trainee information system (TIS) for that reporting period.</w:t>
      </w:r>
    </w:p>
    <w:p>
      <w:pPr>
        <w:pStyle w:val="Normal"/>
        <w:rPr>
          <w:shd w:fill="auto" w:val="clear"/>
        </w:rPr>
      </w:pPr>
      <w:r>
        <w:rPr>
          <w:sz w:val="20"/>
          <w:szCs w:val="20"/>
          <w:shd w:fill="auto" w:val="clear"/>
        </w:rPr>
        <w:t>Sixteen referrals were triaged and later rejected for various reasons e.g.</w:t>
      </w:r>
    </w:p>
    <w:p>
      <w:pPr>
        <w:pStyle w:val="ListParagraph"/>
        <w:numPr>
          <w:ilvl w:val="0"/>
          <w:numId w:val="1"/>
        </w:numPr>
        <w:rPr>
          <w:shd w:fill="auto" w:val="clear"/>
        </w:rPr>
      </w:pPr>
      <w:r>
        <w:rPr>
          <w:sz w:val="20"/>
          <w:szCs w:val="20"/>
          <w:shd w:fill="auto" w:val="clear"/>
        </w:rPr>
        <w:t>self-referrals where level 1 support was by-passed</w:t>
      </w:r>
    </w:p>
    <w:p>
      <w:pPr>
        <w:pStyle w:val="ListParagraph"/>
        <w:numPr>
          <w:ilvl w:val="0"/>
          <w:numId w:val="1"/>
        </w:numPr>
        <w:rPr>
          <w:shd w:fill="auto" w:val="clear"/>
        </w:rPr>
      </w:pPr>
      <w:r>
        <w:rPr>
          <w:sz w:val="20"/>
          <w:szCs w:val="20"/>
          <w:shd w:fill="auto" w:val="clear"/>
        </w:rPr>
        <w:t>the issue should have been managed locally - level 2 by-passed</w:t>
      </w:r>
    </w:p>
    <w:p>
      <w:pPr>
        <w:pStyle w:val="ListParagraph"/>
        <w:numPr>
          <w:ilvl w:val="0"/>
          <w:numId w:val="1"/>
        </w:numPr>
        <w:rPr>
          <w:shd w:fill="auto" w:val="clear"/>
        </w:rPr>
      </w:pPr>
      <w:r>
        <w:rPr>
          <w:sz w:val="20"/>
          <w:szCs w:val="20"/>
          <w:shd w:fill="auto" w:val="clear"/>
        </w:rPr>
        <w:t>non training-grade doctor was referred</w:t>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b/>
          <w:bCs/>
          <w:sz w:val="20"/>
          <w:szCs w:val="20"/>
          <w:shd w:fill="auto" w:val="clear"/>
        </w:rPr>
        <w:t>Table 1 - Total PSU activity currentYearSlash:</w:t>
      </w:r>
    </w:p>
    <w:tbl>
      <w:tblPr>
        <w:tblStyle w:val="TableGrid"/>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shd w:color="auto" w:fill="C6D9F1" w:themeFill="text2" w:themeFillTint="33"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New Referrals in Financial Year</w:t>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rFonts w:eastAsia="ＭＳ 明朝" w:cs="Calibri"/>
                <w:b/>
                <w:b/>
                <w:bCs/>
                <w:kern w:val="0"/>
                <w:sz w:val="20"/>
                <w:szCs w:val="20"/>
                <w:shd w:fill="auto" w:val="clear"/>
                <w:lang w:val="en-GB" w:eastAsia="en-US" w:bidi="ar-SA"/>
              </w:rPr>
            </w:pPr>
            <w:r>
              <w:rPr>
                <w:rFonts w:eastAsia="ＭＳ 明朝" w:cs="Calibri" w:cstheme="minorHAnsi"/>
                <w:b/>
                <w:bCs/>
                <w:kern w:val="0"/>
                <w:sz w:val="20"/>
                <w:szCs w:val="20"/>
                <w:shd w:fill="auto" w:val="clear"/>
                <w:lang w:val="en-GB" w:eastAsia="en-US" w:bidi="ar-SA"/>
              </w:rPr>
              <w:t>lastYearSlash</w:t>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currentYearSlash</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ST (incl. Core)</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TA</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FT</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TB</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GP</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TC</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Other</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TD</w:t>
            </w:r>
          </w:p>
        </w:tc>
      </w:tr>
      <w:tr>
        <w:trPr/>
        <w:tc>
          <w:tcPr>
            <w:tcW w:w="3009" w:type="dxa"/>
            <w:tcBorders/>
            <w:shd w:color="auto" w:fill="DBE5F1" w:themeFill="accent1" w:themeFillTint="33" w:val="clear"/>
          </w:tcPr>
          <w:p>
            <w:pPr>
              <w:pStyle w:val="Normal"/>
              <w:widowControl w:val="false"/>
              <w:suppressAutoHyphens w:val="true"/>
              <w:spacing w:lineRule="auto" w:line="240" w:before="0" w:after="0"/>
              <w:jc w:val="left"/>
              <w:rPr>
                <w:rFonts w:cs="Calibri"/>
                <w:b/>
                <w:b/>
                <w:bCs/>
                <w:sz w:val="20"/>
                <w:szCs w:val="20"/>
                <w:shd w:fill="auto" w:val="clear"/>
              </w:rPr>
            </w:pPr>
            <w:r>
              <w:rPr>
                <w:rFonts w:cs="Calibri" w:cstheme="minorHAnsi"/>
                <w:b/>
                <w:bCs/>
                <w:kern w:val="0"/>
                <w:sz w:val="20"/>
                <w:szCs w:val="20"/>
                <w:shd w:fill="auto" w:val="clear"/>
                <w:lang w:val="en-GB" w:eastAsia="en-US" w:bidi="ar-SA"/>
              </w:rPr>
              <w:t>Total</w:t>
            </w:r>
          </w:p>
        </w:tc>
        <w:tc>
          <w:tcPr>
            <w:tcW w:w="3009" w:type="dxa"/>
            <w:tcBorders/>
            <w:shd w:color="auto" w:fill="DBE5F1" w:themeFill="accent1" w:themeFillTint="33" w:val="clear"/>
          </w:tcPr>
          <w:p>
            <w:pPr>
              <w:pStyle w:val="Normal"/>
              <w:widowControl w:val="false"/>
              <w:suppressAutoHyphens w:val="true"/>
              <w:spacing w:lineRule="auto" w:line="240" w:before="0" w:after="0"/>
              <w:jc w:val="center"/>
              <w:rPr>
                <w:rFonts w:ascii="Calibri" w:hAnsi="Calibri" w:eastAsia="ＭＳ 明朝" w:cs="Calibri" w:cstheme="minorHAnsi"/>
                <w:b/>
                <w:b/>
                <w:color w:val="auto"/>
                <w:kern w:val="0"/>
                <w:sz w:val="20"/>
                <w:szCs w:val="20"/>
                <w:shd w:fill="auto" w:val="clear"/>
                <w:lang w:val="en-GB" w:eastAsia="en-US" w:bidi="ar-SA"/>
              </w:rPr>
            </w:pPr>
            <w:r>
              <w:rPr>
                <w:rFonts w:eastAsia="ＭＳ 明朝" w:cs="Calibri" w:cstheme="minorHAnsi"/>
                <w:b/>
                <w:color w:val="000000"/>
                <w:kern w:val="0"/>
                <w:sz w:val="20"/>
                <w:szCs w:val="20"/>
                <w:shd w:fill="auto" w:val="clear"/>
                <w:lang w:val="en-GB" w:eastAsia="en-US" w:bidi="ar-SA"/>
              </w:rPr>
            </w:r>
          </w:p>
        </w:tc>
        <w:tc>
          <w:tcPr>
            <w:tcW w:w="3009" w:type="dxa"/>
            <w:tcBorders/>
            <w:shd w:color="auto" w:fill="DBE5F1" w:themeFill="accent1" w:themeFillTint="33" w:val="clear"/>
          </w:tcPr>
          <w:p>
            <w:pPr>
              <w:pStyle w:val="Normal"/>
              <w:widowControl w:val="false"/>
              <w:suppressAutoHyphens w:val="true"/>
              <w:spacing w:lineRule="auto" w:line="240" w:before="0" w:after="0"/>
              <w:jc w:val="center"/>
              <w:rPr>
                <w:rFonts w:ascii="Calibri" w:hAnsi="Calibri" w:eastAsia="ＭＳ 明朝" w:cs="Arial" w:eastAsiaTheme="minorEastAsia"/>
                <w:b/>
                <w:b/>
                <w:bCs/>
                <w:color w:val="000000"/>
                <w:kern w:val="0"/>
                <w:sz w:val="20"/>
                <w:szCs w:val="20"/>
                <w:shd w:fill="auto" w:val="clear"/>
                <w:lang w:val="en-GB" w:eastAsia="en-US" w:bidi="ar-SA"/>
              </w:rPr>
            </w:pPr>
            <w:r>
              <w:rPr>
                <w:rFonts w:eastAsia="ＭＳ 明朝" w:cs="Arial" w:eastAsiaTheme="minorEastAsia"/>
                <w:b/>
                <w:bCs/>
                <w:color w:val="000000"/>
                <w:kern w:val="0"/>
                <w:sz w:val="20"/>
                <w:szCs w:val="20"/>
                <w:shd w:fill="auto" w:val="clear"/>
                <w:lang w:val="en-GB" w:eastAsia="en-US" w:bidi="ar-SA"/>
              </w:rPr>
              <w:t>TE</w:t>
            </w:r>
          </w:p>
        </w:tc>
      </w:tr>
      <w:tr>
        <w:trPr>
          <w:trHeight w:val="70" w:hRule="atLeast"/>
        </w:trPr>
        <w:tc>
          <w:tcPr>
            <w:tcW w:w="3009" w:type="dxa"/>
            <w:tcBorders/>
            <w:shd w:color="auto" w:fill="C6D9F1" w:themeFill="text2" w:themeFillTint="33" w:val="clear"/>
          </w:tcPr>
          <w:p>
            <w:pPr>
              <w:pStyle w:val="Normal"/>
              <w:widowControl w:val="false"/>
              <w:suppressAutoHyphens w:val="true"/>
              <w:spacing w:lineRule="auto" w:line="240" w:before="0" w:after="0"/>
              <w:jc w:val="left"/>
              <w:rPr>
                <w:rFonts w:cs="Calibri" w:cstheme="minorHAnsi"/>
                <w:sz w:val="20"/>
                <w:szCs w:val="20"/>
                <w:shd w:fill="auto" w:val="clear"/>
              </w:rPr>
            </w:pPr>
            <w:r>
              <w:rPr>
                <w:rFonts w:cs="Calibri" w:cstheme="minorHAnsi"/>
                <w:sz w:val="20"/>
                <w:szCs w:val="20"/>
                <w:shd w:fill="auto" w:val="clear"/>
              </w:rPr>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sz w:val="20"/>
                <w:szCs w:val="20"/>
                <w:shd w:fill="auto" w:val="clear"/>
              </w:rPr>
            </w:pPr>
            <w:r>
              <w:rPr>
                <w:sz w:val="20"/>
                <w:szCs w:val="20"/>
                <w:shd w:fill="auto" w:val="clear"/>
              </w:rPr>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Cases Closed within period</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TF</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Opened &amp; Closed within financial year</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TG</w:t>
            </w:r>
          </w:p>
        </w:tc>
      </w:tr>
    </w:tbl>
    <w:p>
      <w:pPr>
        <w:pStyle w:val="Normal"/>
        <w:rPr>
          <w:shd w:fill="auto" w:val="clear"/>
        </w:rPr>
      </w:pPr>
      <w:r>
        <w:rPr>
          <w:shd w:fill="auto" w:val="clear"/>
        </w:rPr>
      </w:r>
    </w:p>
    <w:p>
      <w:pPr>
        <w:pStyle w:val="Normal"/>
        <w:rPr>
          <w:shd w:fill="auto" w:val="clear"/>
        </w:rPr>
      </w:pPr>
      <w:r>
        <w:rPr>
          <w:sz w:val="20"/>
          <w:szCs w:val="20"/>
          <w:shd w:fill="auto" w:val="clear"/>
        </w:rPr>
        <w:t xml:space="preserve">The Covid-19 pandemic that has swept the UK does appear to have affected referrals, as March saw a drop in numbers of referrals. </w:t>
      </w:r>
    </w:p>
    <w:p>
      <w:pPr>
        <w:pStyle w:val="Normal"/>
        <w:rPr>
          <w:shd w:fill="auto" w:val="clear"/>
        </w:rPr>
      </w:pPr>
      <w:r>
        <w:rPr>
          <w:b/>
          <w:bCs/>
          <w:sz w:val="20"/>
          <w:szCs w:val="20"/>
          <w:u w:val="single"/>
          <w:shd w:fill="auto" w:val="clear"/>
        </w:rPr>
        <w:t>Gender of referrals taken from trainee database information (TIS). See Figure 1 below:</w:t>
      </w:r>
    </w:p>
    <w:p>
      <w:pPr>
        <w:pStyle w:val="Normal"/>
        <w:rPr>
          <w:shd w:fill="auto" w:val="clear"/>
        </w:rPr>
      </w:pPr>
      <w:r>
        <w:rPr>
          <w:rFonts w:cs="Calibri" w:cstheme="minorHAnsi"/>
          <w:b/>
          <w:bCs/>
          <w:sz w:val="20"/>
          <w:szCs w:val="20"/>
          <w:shd w:fill="auto" w:val="clear"/>
        </w:rPr>
        <w:t>Fig. 1 - Gender disclosed for all Wessex trainees and PSU referrals (% of baseline trainee numbers)</w:t>
      </w:r>
    </w:p>
    <w:p>
      <w:pPr>
        <w:pStyle w:val="Normal"/>
        <w:spacing w:lineRule="auto" w:line="240" w:before="0" w:after="0"/>
        <w:rPr>
          <w:shd w:fill="auto" w:val="clear"/>
        </w:rPr>
      </w:pPr>
      <w:r>
        <w:rPr/>
        <w:drawing>
          <wp:inline distT="0" distB="0" distL="0" distR="0">
            <wp:extent cx="5745480" cy="294386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shd w:fill="auto" w:val="clear"/>
        </w:rPr>
      </w:pPr>
      <w:r>
        <w:rPr>
          <w:color w:val="000000" w:themeColor="text1"/>
          <w:sz w:val="20"/>
          <w:szCs w:val="20"/>
          <w:shd w:fill="auto" w:val="clear"/>
        </w:rPr>
        <w:t>So</w:t>
      </w:r>
      <w:r>
        <w:rPr>
          <w:rFonts w:eastAsia="Arial"/>
          <w:color w:val="000000" w:themeColor="text1"/>
          <w:sz w:val="20"/>
          <w:szCs w:val="20"/>
          <w:shd w:fill="auto" w:val="clear"/>
        </w:rPr>
        <w:t xml:space="preserve">me trainees do not disclose their gender on TIS hence the top bar “unknown”. In this number is included a small percentage of trainees who would prefer not to disclose their gender. The baseline numbers of trainees </w:t>
      </w:r>
      <w:r>
        <w:rPr>
          <w:rFonts w:eastAsia="Arial"/>
          <w:sz w:val="20"/>
          <w:szCs w:val="20"/>
          <w:shd w:fill="auto" w:val="clear"/>
        </w:rPr>
        <w:t>fluctuates significantly across the year, this data is from March currentYear.</w:t>
      </w:r>
      <w:r>
        <w:rPr>
          <w:sz w:val="20"/>
          <w:szCs w:val="20"/>
          <w:shd w:fill="auto" w:val="clear"/>
        </w:rPr>
        <w:t xml:space="preserve"> </w:t>
      </w:r>
      <w:r>
        <w:rPr>
          <w:rFonts w:eastAsia="Arial"/>
          <w:sz w:val="20"/>
          <w:szCs w:val="20"/>
          <w:shd w:fill="auto" w:val="clear"/>
        </w:rPr>
        <w:t>Similar proportions of each gender were referred i.e. 6.68 % of all female and 5.34 % of all male trainees.</w:t>
      </w:r>
      <w:r>
        <w:rPr>
          <w:sz w:val="20"/>
          <w:szCs w:val="20"/>
          <w:shd w:fill="auto" w:val="clear"/>
        </w:rPr>
        <w:t xml:space="preserve"> </w:t>
      </w:r>
    </w:p>
    <w:p>
      <w:pPr>
        <w:pStyle w:val="Normal"/>
        <w:rPr>
          <w:shd w:fill="auto" w:val="clear"/>
        </w:rPr>
      </w:pPr>
      <w:r>
        <w:rPr>
          <w:rFonts w:cs="Calibri" w:cstheme="minorHAnsi"/>
          <w:b/>
          <w:bCs/>
          <w:szCs w:val="20"/>
          <w:u w:val="single"/>
          <w:shd w:fill="auto" w:val="clear"/>
        </w:rPr>
        <w:t>Reasons for direct referral to the PSU</w:t>
      </w:r>
    </w:p>
    <w:p>
      <w:pPr>
        <w:pStyle w:val="Normal"/>
        <w:rPr>
          <w:shd w:fill="auto" w:val="clear"/>
        </w:rPr>
      </w:pPr>
      <w:r>
        <w:rPr>
          <w:color w:val="000000" w:themeColor="text1"/>
          <w:sz w:val="20"/>
          <w:szCs w:val="20"/>
          <w:shd w:fill="auto" w:val="clear"/>
        </w:rPr>
        <w:t xml:space="preserve">This year’s reasons for referral are shown in figure 2. Table 2 holds data for the last three years. Most referrals have more than one issue. The commonest reasons for referral are exam failure, health and capability. Mental health issues remain the most common reason for health referrals.  </w:t>
      </w:r>
      <w:r>
        <w:rPr>
          <w:rFonts w:cs="Calibri" w:cstheme="minorHAnsi"/>
          <w:sz w:val="20"/>
          <w:szCs w:val="20"/>
          <w:shd w:fill="auto" w:val="clear"/>
        </w:rPr>
        <w:t>Exam failure has become a more frequent referral reason and is discussed later in this document.</w:t>
      </w:r>
    </w:p>
    <w:p>
      <w:pPr>
        <w:pStyle w:val="Normal"/>
        <w:rPr>
          <w:shd w:fill="auto" w:val="clear"/>
        </w:rPr>
      </w:pPr>
      <w:r>
        <w:rPr>
          <w:b/>
          <w:sz w:val="20"/>
          <w:szCs w:val="20"/>
          <w:shd w:fill="auto" w:val="clear"/>
        </w:rPr>
        <w:t>Fig. 2 - Referral Reason financial year currentYearSlash</w:t>
      </w:r>
      <w:r>
        <w:rPr>
          <w:b/>
          <w:bCs/>
          <w:sz w:val="20"/>
          <w:szCs w:val="20"/>
          <w:shd w:fill="auto" w:val="clear"/>
        </w:rPr>
        <w:t xml:space="preserve"> </w:t>
      </w:r>
    </w:p>
    <w:p>
      <w:pPr>
        <w:pStyle w:val="Normal"/>
        <w:spacing w:lineRule="auto" w:line="240" w:before="0" w:after="0"/>
        <w:rPr>
          <w:shd w:fill="auto" w:val="clear"/>
        </w:rPr>
      </w:pPr>
      <w:r>
        <w:rPr/>
        <w:drawing>
          <wp:inline distT="0" distB="0" distL="0" distR="0">
            <wp:extent cx="5745480" cy="193484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745480" cy="1934845"/>
                    </a:xfrm>
                    <a:prstGeom prst="rect">
                      <a:avLst/>
                    </a:prstGeom>
                  </pic:spPr>
                </pic:pic>
              </a:graphicData>
            </a:graphic>
          </wp:inline>
        </w:drawing>
      </w:r>
    </w:p>
    <w:p>
      <w:pPr>
        <w:pStyle w:val="Normal"/>
        <w:rPr>
          <w:shd w:fill="auto" w:val="clear"/>
        </w:rPr>
      </w:pPr>
      <w:r>
        <w:rPr>
          <w:sz w:val="20"/>
          <w:szCs w:val="20"/>
          <w:shd w:fill="auto" w:val="clear"/>
        </w:rPr>
        <w:t>*some trainees were referred for multiple reasons</w:t>
      </w:r>
    </w:p>
    <w:p>
      <w:pPr>
        <w:pStyle w:val="Normal"/>
        <w:rPr>
          <w:shd w:fill="auto" w:val="clear"/>
        </w:rPr>
      </w:pPr>
      <w:r>
        <w:rPr>
          <w:b/>
          <w:sz w:val="20"/>
          <w:szCs w:val="20"/>
          <w:shd w:fill="auto" w:val="clear"/>
        </w:rPr>
        <w:t>Fig. 2a - Health referrals - (breakdown) currentYearSlash</w:t>
      </w:r>
    </w:p>
    <w:p>
      <w:pPr>
        <w:pStyle w:val="Normal"/>
        <w:rPr>
          <w:shd w:fill="auto" w:val="clear"/>
        </w:rPr>
      </w:pPr>
      <w:r>
        <w:rPr/>
        <w:drawing>
          <wp:inline distT="0" distB="0" distL="0" distR="0">
            <wp:extent cx="5948680" cy="1381125"/>
            <wp:effectExtent l="0" t="0" r="0" b="0"/>
            <wp:docPr id="4" name="Picture 1519938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19938175" descr=""/>
                    <pic:cNvPicPr>
                      <a:picLocks noChangeAspect="1" noChangeArrowheads="1"/>
                    </pic:cNvPicPr>
                  </pic:nvPicPr>
                  <pic:blipFill>
                    <a:blip r:embed="rId5"/>
                    <a:stretch>
                      <a:fillRect/>
                    </a:stretch>
                  </pic:blipFill>
                  <pic:spPr bwMode="auto">
                    <a:xfrm>
                      <a:off x="0" y="0"/>
                      <a:ext cx="5948680" cy="1381125"/>
                    </a:xfrm>
                    <a:prstGeom prst="rect">
                      <a:avLst/>
                    </a:prstGeom>
                  </pic:spPr>
                </pic:pic>
              </a:graphicData>
            </a:graphic>
          </wp:inline>
        </w:drawing>
      </w:r>
    </w:p>
    <w:p>
      <w:pPr>
        <w:pStyle w:val="Normal"/>
        <w:rPr/>
      </w:pPr>
      <w:r>
        <w:rPr>
          <w:rFonts w:cs="Calibri" w:cstheme="minorHAnsi"/>
          <w:b/>
          <w:bCs/>
          <w:sz w:val="20"/>
          <w:szCs w:val="20"/>
          <w:shd w:fill="auto" w:val="clear"/>
        </w:rPr>
        <w:t xml:space="preserve">Table 2 - Referral Reason and gender split for financial years </w:t>
      </w:r>
      <w:r>
        <w:rPr>
          <w:rFonts w:eastAsia="ＭＳ 明朝" w:cs="Calibri" w:cstheme="minorHAnsi"/>
          <w:b/>
          <w:bCs/>
          <w:color w:val="000000"/>
          <w:kern w:val="0"/>
          <w:sz w:val="20"/>
          <w:szCs w:val="20"/>
          <w:shd w:fill="auto" w:val="clear"/>
          <w:lang w:val="en-GB" w:eastAsia="en-US" w:bidi="ar-SA"/>
        </w:rPr>
        <w:t>twoYearsAgo</w:t>
      </w:r>
      <w:r>
        <w:rPr>
          <w:rFonts w:cs="Calibri" w:cstheme="minorHAnsi"/>
          <w:b/>
          <w:bCs/>
          <w:sz w:val="20"/>
          <w:szCs w:val="20"/>
          <w:shd w:fill="auto" w:val="clear"/>
        </w:rPr>
        <w:t>-</w:t>
      </w:r>
      <w:r>
        <w:rPr>
          <w:rFonts w:cs="Calibri" w:cstheme="minorHAnsi"/>
          <w:b/>
          <w:bCs/>
          <w:sz w:val="20"/>
          <w:szCs w:val="20"/>
          <w:u w:val="single"/>
          <w:shd w:fill="auto" w:val="clear"/>
        </w:rPr>
        <w:t>currentYear</w:t>
      </w:r>
    </w:p>
    <w:tbl>
      <w:tblPr>
        <w:tblStyle w:val="TableGrid"/>
        <w:tblW w:w="9927" w:type="dxa"/>
        <w:jc w:val="left"/>
        <w:tblInd w:w="-13" w:type="dxa"/>
        <w:tblLayout w:type="fixed"/>
        <w:tblCellMar>
          <w:top w:w="0" w:type="dxa"/>
          <w:left w:w="108" w:type="dxa"/>
          <w:bottom w:w="0" w:type="dxa"/>
          <w:right w:w="108" w:type="dxa"/>
        </w:tblCellMar>
        <w:tblLook w:firstRow="1" w:noVBand="1" w:lastRow="0" w:firstColumn="1" w:lastColumn="0" w:noHBand="1" w:val="06a0"/>
      </w:tblPr>
      <w:tblGrid>
        <w:gridCol w:w="874"/>
        <w:gridCol w:w="872"/>
        <w:gridCol w:w="668"/>
        <w:gridCol w:w="664"/>
        <w:gridCol w:w="663"/>
        <w:gridCol w:w="663"/>
        <w:gridCol w:w="663"/>
        <w:gridCol w:w="665"/>
        <w:gridCol w:w="663"/>
        <w:gridCol w:w="750"/>
        <w:gridCol w:w="682"/>
        <w:gridCol w:w="682"/>
        <w:gridCol w:w="690"/>
        <w:gridCol w:w="727"/>
      </w:tblGrid>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b/>
                <w:b/>
                <w:sz w:val="18"/>
                <w:szCs w:val="18"/>
                <w:shd w:fill="auto" w:val="clear"/>
              </w:rPr>
            </w:pPr>
            <w:r>
              <w:rPr>
                <w:rFonts w:cs="Calibri" w:cstheme="minorHAnsi"/>
                <w:b/>
                <w:kern w:val="0"/>
                <w:sz w:val="18"/>
                <w:szCs w:val="18"/>
                <w:shd w:fill="auto" w:val="clear"/>
                <w:lang w:val="en-GB" w:eastAsia="en-US" w:bidi="ar-SA"/>
              </w:rPr>
              <w:t>Ref number</w:t>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b/>
                <w:b/>
                <w:sz w:val="18"/>
                <w:szCs w:val="18"/>
                <w:shd w:fill="auto" w:val="clear"/>
              </w:rPr>
            </w:pPr>
            <w:r>
              <w:rPr>
                <w:rFonts w:cs="Calibri" w:cstheme="minorHAnsi"/>
                <w:b/>
                <w:kern w:val="0"/>
                <w:sz w:val="18"/>
                <w:szCs w:val="18"/>
                <w:shd w:fill="auto" w:val="clear"/>
                <w:lang w:val="en-GB" w:eastAsia="en-US" w:bidi="ar-SA"/>
              </w:rPr>
              <w:t>Year</w:t>
            </w:r>
          </w:p>
        </w:tc>
        <w:tc>
          <w:tcPr>
            <w:tcW w:w="1332"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Capability</w:t>
            </w:r>
          </w:p>
        </w:tc>
        <w:tc>
          <w:tcPr>
            <w:tcW w:w="1326"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Exam failure</w:t>
            </w:r>
          </w:p>
        </w:tc>
        <w:tc>
          <w:tcPr>
            <w:tcW w:w="1328"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Health</w:t>
            </w:r>
          </w:p>
        </w:tc>
        <w:tc>
          <w:tcPr>
            <w:tcW w:w="1413"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Career</w:t>
            </w:r>
          </w:p>
        </w:tc>
        <w:tc>
          <w:tcPr>
            <w:tcW w:w="1364"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Conduct</w:t>
            </w:r>
          </w:p>
        </w:tc>
        <w:tc>
          <w:tcPr>
            <w:tcW w:w="1417"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Other</w:t>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6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90"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727"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90"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27"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90"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27"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ascii="Calibri" w:hAnsi="Calibri" w:eastAsia="ＭＳ 明朝" w:cs="Calibri"/>
                <w:color w:val="auto"/>
                <w:kern w:val="0"/>
                <w:sz w:val="20"/>
                <w:szCs w:val="20"/>
                <w:shd w:fill="auto" w:val="clear"/>
                <w:lang w:val="en-GB" w:eastAsia="en-US" w:bidi="ar-SA"/>
              </w:rPr>
            </w:pPr>
            <w:r>
              <w:rPr>
                <w:rFonts w:eastAsia="ＭＳ 明朝" w:cs="Calibri"/>
                <w:color w:val="000000"/>
                <w:kern w:val="0"/>
                <w:sz w:val="20"/>
                <w:szCs w:val="20"/>
                <w:shd w:fill="auto" w:val="clear"/>
                <w:lang w:val="en-GB" w:eastAsia="en-US" w:bidi="ar-SA"/>
              </w:rPr>
              <w:t>TA</w:t>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t>TB</w:t>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TC</w:t>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TD</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TE</w:t>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TF</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TG</w:t>
            </w:r>
          </w:p>
        </w:tc>
        <w:tc>
          <w:tcPr>
            <w:tcW w:w="665"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t>TH</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TI</w:t>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TJ</w:t>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TK</w:t>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TL</w:t>
            </w:r>
          </w:p>
        </w:tc>
        <w:tc>
          <w:tcPr>
            <w:tcW w:w="690"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TM</w:t>
            </w:r>
          </w:p>
        </w:tc>
        <w:tc>
          <w:tcPr>
            <w:tcW w:w="727"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TN</w:t>
            </w:r>
          </w:p>
        </w:tc>
      </w:tr>
    </w:tbl>
    <w:p>
      <w:pPr>
        <w:pStyle w:val="Normal"/>
        <w:rPr>
          <w:shd w:fill="auto" w:val="clear"/>
        </w:rPr>
      </w:pPr>
      <w:r>
        <w:rPr>
          <w:shd w:fill="auto" w:val="clear"/>
        </w:rPr>
      </w:r>
    </w:p>
    <w:p>
      <w:pPr>
        <w:pStyle w:val="Normal"/>
        <w:rPr>
          <w:rFonts w:cs="Calibri" w:cstheme="minorHAnsi"/>
          <w:b/>
          <w:b/>
          <w:bCs/>
          <w:sz w:val="20"/>
          <w:szCs w:val="20"/>
          <w:u w:val="single"/>
          <w:shd w:fill="auto" w:val="clear"/>
        </w:rPr>
      </w:pPr>
      <w:r>
        <w:rPr>
          <w:rFonts w:cs="Calibri" w:cstheme="minorHAnsi"/>
          <w:b/>
          <w:bCs/>
          <w:sz w:val="20"/>
          <w:szCs w:val="20"/>
          <w:u w:val="single"/>
          <w:shd w:fill="auto" w:val="clear"/>
        </w:rPr>
      </w:r>
    </w:p>
    <w:p>
      <w:pPr>
        <w:pStyle w:val="Normal"/>
        <w:rPr>
          <w:shd w:fill="auto" w:val="clear"/>
        </w:rPr>
      </w:pPr>
      <w:r>
        <w:rPr>
          <w:rFonts w:cs="Calibri" w:cstheme="minorHAnsi"/>
          <w:b/>
          <w:bCs/>
          <w:sz w:val="20"/>
          <w:szCs w:val="20"/>
          <w:u w:val="single"/>
          <w:shd w:fill="auto" w:val="clear"/>
        </w:rPr>
        <w:t>Stage of Training and programme for referrals currentYearSlash</w:t>
      </w:r>
    </w:p>
    <w:p>
      <w:pPr>
        <w:pStyle w:val="Normal"/>
        <w:rPr>
          <w:shd w:fill="auto" w:val="clear"/>
        </w:rPr>
      </w:pPr>
      <w:r>
        <w:rPr>
          <w:rFonts w:cs="Calibri" w:cstheme="minorHAnsi"/>
          <w:bCs/>
          <w:sz w:val="20"/>
          <w:szCs w:val="20"/>
          <w:shd w:fill="auto" w:val="clear"/>
        </w:rPr>
        <w:t xml:space="preserve">15% of referrals were later in training, sometimes related to exit exams. The rest of the referrals were evenly split between the middle years and early years of training (F1-CT2). Figure 3 demonstrates grade on referral and figure 4 shows higher level programme. </w:t>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rFonts w:cs="Calibri" w:cstheme="minorHAnsi"/>
          <w:b/>
          <w:bCs/>
          <w:sz w:val="20"/>
          <w:szCs w:val="20"/>
          <w:shd w:fill="auto" w:val="clear"/>
        </w:rPr>
        <w:t>Fig. 3 – Referrals broken down by Stage of Training currentYearSlash</w:t>
      </w:r>
    </w:p>
    <w:p>
      <w:pPr>
        <w:pStyle w:val="Normal"/>
        <w:spacing w:lineRule="auto" w:line="240" w:before="0" w:after="0"/>
        <w:rPr>
          <w:shd w:fill="auto" w:val="clear"/>
        </w:rPr>
      </w:pPr>
      <w:r>
        <w:rPr/>
        <w:drawing>
          <wp:inline distT="0" distB="0" distL="0" distR="0">
            <wp:extent cx="5378450" cy="22733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rFonts w:cs="Calibri" w:cstheme="minorHAnsi"/>
          <w:sz w:val="20"/>
          <w:szCs w:val="20"/>
          <w:shd w:fill="auto" w:val="clear"/>
          <w:lang w:eastAsia="en-GB"/>
        </w:rPr>
      </w:pPr>
      <w:r>
        <w:rPr>
          <w:rFonts w:cs="Calibri" w:cstheme="minorHAnsi"/>
          <w:sz w:val="20"/>
          <w:szCs w:val="20"/>
          <w:shd w:fill="auto" w:val="clear"/>
          <w:lang w:eastAsia="en-GB"/>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rFonts w:cs="Calibri" w:cstheme="minorHAnsi"/>
          <w:b/>
          <w:bCs/>
          <w:sz w:val="20"/>
          <w:szCs w:val="20"/>
          <w:shd w:fill="auto" w:val="clear"/>
        </w:rPr>
        <w:t>Fig. 4 - Referrals broken down by programme grade for new referrals currentYearSlash</w:t>
      </w:r>
    </w:p>
    <w:p>
      <w:pPr>
        <w:pStyle w:val="Normal"/>
        <w:rPr>
          <w:shd w:fill="auto" w:val="clear"/>
        </w:rPr>
      </w:pPr>
      <w:r>
        <w:rPr/>
        <w:drawing>
          <wp:inline distT="0" distB="0" distL="0" distR="0">
            <wp:extent cx="3968750" cy="254000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jc w:val="both"/>
        <w:rPr>
          <w:shd w:fill="auto" w:val="clear"/>
        </w:rPr>
      </w:pPr>
      <w:r>
        <w:rPr>
          <w:rFonts w:cs="Calibri" w:cstheme="minorHAnsi"/>
          <w:color w:val="000000" w:themeColor="text1"/>
          <w:sz w:val="20"/>
          <w:szCs w:val="20"/>
          <w:shd w:fill="auto" w:val="clear"/>
        </w:rPr>
        <w:t xml:space="preserve">Foundation programme referrals were lower this year than in the past, </w:t>
      </w:r>
      <w:r>
        <w:rPr>
          <w:rFonts w:cs="Calibri" w:cstheme="minorHAnsi"/>
          <w:sz w:val="20"/>
          <w:szCs w:val="20"/>
          <w:shd w:fill="auto" w:val="clear"/>
        </w:rPr>
        <w:t xml:space="preserve">representing 1.8% of the </w:t>
      </w:r>
      <w:r>
        <w:rPr>
          <w:rFonts w:cs="Calibri" w:cstheme="minorHAnsi"/>
          <w:color w:val="000000" w:themeColor="text1"/>
          <w:sz w:val="20"/>
          <w:szCs w:val="20"/>
          <w:shd w:fill="auto" w:val="clear"/>
        </w:rPr>
        <w:t xml:space="preserve">school numbers. This has been a steady trend and could represent enhanced Trust level support from Foundation Programme Directors. </w:t>
      </w:r>
    </w:p>
    <w:p>
      <w:pPr>
        <w:pStyle w:val="Normal"/>
        <w:jc w:val="both"/>
        <w:rPr>
          <w:shd w:fill="auto" w:val="clear"/>
        </w:rPr>
      </w:pPr>
      <w:r>
        <w:rPr>
          <w:rFonts w:cs="Calibri" w:cstheme="minorHAnsi"/>
          <w:color w:val="000000" w:themeColor="text1"/>
          <w:sz w:val="20"/>
          <w:szCs w:val="20"/>
          <w:shd w:fill="auto" w:val="clear"/>
        </w:rPr>
        <w:t>Up until recently, trainees’ engagement with the PSU was regularly communicated to programme teams and heads of schools. However, the meetings were poorly attended, and the feedback suggested that the information was not getting through to ARCP panels. After consultation within PSU and checking processes followed in other PSUs, we will be confirming whether a trainee has engaged with PSU or not via monthly e-mailed messages to the relevant programme team and head of school. We will no longer hold regular meetings but will ensure a quick response to any enquiries to the PSU inbox.</w:t>
      </w:r>
    </w:p>
    <w:p>
      <w:pPr>
        <w:pStyle w:val="Normal"/>
        <w:jc w:val="both"/>
        <w:rPr>
          <w:shd w:fill="auto" w:val="clear"/>
        </w:rPr>
      </w:pPr>
      <w:r>
        <w:rPr>
          <w:rFonts w:cs="Calibri" w:cstheme="minorHAnsi"/>
          <w:color w:val="000000" w:themeColor="text1"/>
          <w:sz w:val="20"/>
          <w:szCs w:val="20"/>
          <w:shd w:fill="auto" w:val="clear"/>
        </w:rPr>
        <w:t xml:space="preserve">Table 3 shows foundation programme referrals over the last three financial years. </w:t>
      </w:r>
    </w:p>
    <w:p>
      <w:pPr>
        <w:pStyle w:val="Normal"/>
        <w:jc w:val="both"/>
        <w:rPr>
          <w:rFonts w:cs="Calibri" w:cstheme="minorHAnsi"/>
          <w:color w:val="000000" w:themeColor="text1"/>
          <w:sz w:val="20"/>
          <w:szCs w:val="20"/>
          <w:shd w:fill="auto" w:val="clear"/>
        </w:rPr>
      </w:pPr>
      <w:r>
        <w:rPr>
          <w:rFonts w:cs="Calibri" w:cstheme="minorHAnsi"/>
          <w:color w:val="000000" w:themeColor="text1"/>
          <w:sz w:val="20"/>
          <w:szCs w:val="20"/>
          <w:shd w:fill="auto" w:val="clear"/>
        </w:rPr>
      </w:r>
    </w:p>
    <w:p>
      <w:pPr>
        <w:pStyle w:val="Normal"/>
        <w:jc w:val="both"/>
        <w:rPr>
          <w:shd w:fill="auto" w:val="clear"/>
        </w:rPr>
      </w:pPr>
      <w:r>
        <w:rPr>
          <w:rFonts w:cs="Calibri" w:cstheme="minorHAnsi"/>
          <w:b/>
          <w:sz w:val="20"/>
          <w:szCs w:val="20"/>
          <w:shd w:fill="auto" w:val="clear"/>
        </w:rPr>
        <w:t>Table 3 – Foundation Programme referrals to PSU</w:t>
      </w:r>
    </w:p>
    <w:tbl>
      <w:tblPr>
        <w:tblW w:w="9029" w:type="dxa"/>
        <w:jc w:val="left"/>
        <w:tblInd w:w="93" w:type="dxa"/>
        <w:tblLayout w:type="fixed"/>
        <w:tblCellMar>
          <w:top w:w="0" w:type="dxa"/>
          <w:left w:w="108" w:type="dxa"/>
          <w:bottom w:w="0" w:type="dxa"/>
          <w:right w:w="108" w:type="dxa"/>
        </w:tblCellMar>
        <w:tblLook w:firstRow="1" w:noVBand="1" w:lastRow="0" w:firstColumn="1" w:lastColumn="0" w:noHBand="0" w:val="04a0"/>
      </w:tblPr>
      <w:tblGrid>
        <w:gridCol w:w="1149"/>
        <w:gridCol w:w="978"/>
        <w:gridCol w:w="865"/>
        <w:gridCol w:w="1984"/>
        <w:gridCol w:w="1275"/>
        <w:gridCol w:w="1360"/>
        <w:gridCol w:w="1417"/>
      </w:tblGrid>
      <w:tr>
        <w:trPr>
          <w:trHeight w:val="946" w:hRule="atLeast"/>
        </w:trPr>
        <w:tc>
          <w:tcPr>
            <w:tcW w:w="1149" w:type="dxa"/>
            <w:tcBorders>
              <w:top w:val="single" w:sz="4" w:space="0" w:color="000000"/>
              <w:left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Cs/>
                <w:sz w:val="20"/>
                <w:szCs w:val="20"/>
                <w:shd w:fill="auto" w:val="clear"/>
                <w:lang w:eastAsia="en-GB"/>
              </w:rPr>
            </w:pPr>
            <w:r>
              <w:rPr>
                <w:rFonts w:eastAsia="Times New Roman" w:cs="Calibri" w:cstheme="minorHAnsi"/>
                <w:bCs/>
                <w:sz w:val="20"/>
                <w:szCs w:val="20"/>
                <w:shd w:fill="auto" w:val="clear"/>
                <w:lang w:eastAsia="en-GB"/>
              </w:rPr>
              <w:t>Year</w:t>
            </w:r>
          </w:p>
        </w:tc>
        <w:tc>
          <w:tcPr>
            <w:tcW w:w="978" w:type="dxa"/>
            <w:tcBorders>
              <w:top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Referral number (% of FP trainees)</w:t>
            </w:r>
          </w:p>
        </w:tc>
        <w:tc>
          <w:tcPr>
            <w:tcW w:w="865" w:type="dxa"/>
            <w:tcBorders>
              <w:top w:val="single" w:sz="4" w:space="0" w:color="000000"/>
              <w:bottom w:val="single" w:sz="4" w:space="0" w:color="000000"/>
              <w:right w:val="single" w:sz="4" w:space="0" w:color="000000"/>
            </w:tcBorders>
            <w:shd w:color="auto" w:fill="B6DDE8" w:themeFill="accent5" w:themeFillTint="66" w:val="clea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Ref no. for the year</w:t>
            </w:r>
          </w:p>
        </w:tc>
        <w:tc>
          <w:tcPr>
            <w:tcW w:w="1984" w:type="dxa"/>
            <w:tcBorders>
              <w:top w:val="single" w:sz="4" w:space="0" w:color="000000"/>
              <w:left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Percentage of all PSU referrals for the year</w:t>
            </w:r>
          </w:p>
        </w:tc>
        <w:tc>
          <w:tcPr>
            <w:tcW w:w="1275" w:type="dxa"/>
            <w:tcBorders>
              <w:top w:val="single" w:sz="4" w:space="0" w:color="000000"/>
              <w:bottom w:val="single" w:sz="4" w:space="0" w:color="000000"/>
              <w:right w:val="single" w:sz="4" w:space="0" w:color="000000"/>
            </w:tcBorders>
            <w:shd w:color="auto" w:fill="B6DDE8" w:themeFill="accent5" w:themeFillTint="66" w:val="clear"/>
          </w:tcPr>
          <w:p>
            <w:pPr>
              <w:pStyle w:val="Normal"/>
              <w:widowControl w:val="false"/>
              <w:spacing w:lineRule="auto" w:line="240" w:before="0" w:after="0"/>
              <w:jc w:val="center"/>
              <w:rPr>
                <w:rFonts w:eastAsia="Times New Roman" w:cs="Calibri" w:cstheme="minorHAnsi"/>
                <w:b/>
                <w:b/>
                <w:bCs/>
                <w:sz w:val="20"/>
                <w:szCs w:val="20"/>
                <w:shd w:fill="auto" w:val="clear"/>
                <w:lang w:eastAsia="en-GB"/>
              </w:rPr>
            </w:pPr>
            <w:r>
              <w:rPr>
                <w:rFonts w:eastAsia="Times New Roman" w:cs="Calibri" w:cstheme="minorHAnsi"/>
                <w:b/>
                <w:bCs/>
                <w:sz w:val="20"/>
                <w:szCs w:val="20"/>
                <w:shd w:fill="auto" w:val="clear"/>
                <w:lang w:eastAsia="en-GB"/>
              </w:rPr>
            </w:r>
          </w:p>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FP size</w:t>
            </w:r>
          </w:p>
        </w:tc>
        <w:tc>
          <w:tcPr>
            <w:tcW w:w="1360" w:type="dxa"/>
            <w:tcBorders>
              <w:top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 of FY1 trainees</w:t>
            </w:r>
          </w:p>
        </w:tc>
        <w:tc>
          <w:tcPr>
            <w:tcW w:w="1417" w:type="dxa"/>
            <w:tcBorders>
              <w:top w:val="single" w:sz="4" w:space="0" w:color="000000"/>
              <w:left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 of FY2 trainees</w:t>
            </w:r>
          </w:p>
        </w:tc>
      </w:tr>
      <w:tr>
        <w:trPr>
          <w:trHeight w:val="563" w:hRule="atLeast"/>
        </w:trPr>
        <w:tc>
          <w:tcPr>
            <w:tcW w:w="1149"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color w:val="000000"/>
                <w:kern w:val="0"/>
                <w:sz w:val="20"/>
                <w:szCs w:val="20"/>
                <w:shd w:fill="auto" w:val="clear"/>
                <w:lang w:val="en-GB" w:eastAsia="en-GB" w:bidi="ar-SA"/>
              </w:rPr>
            </w:pPr>
            <w:r>
              <w:rPr>
                <w:rFonts w:eastAsia="Times New Roman" w:cs="Calibri"/>
                <w:color w:val="000000"/>
                <w:kern w:val="0"/>
                <w:sz w:val="20"/>
                <w:szCs w:val="20"/>
                <w:shd w:fill="auto" w:val="clear"/>
                <w:lang w:val="en-GB" w:eastAsia="en-GB" w:bidi="ar-SA"/>
              </w:rPr>
            </w:r>
          </w:p>
        </w:tc>
        <w:tc>
          <w:tcPr>
            <w:tcW w:w="978"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86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984"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27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360"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417"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r>
      <w:tr>
        <w:trPr>
          <w:trHeight w:val="543" w:hRule="atLeast"/>
        </w:trPr>
        <w:tc>
          <w:tcPr>
            <w:tcW w:w="114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kern w:val="0"/>
                <w:sz w:val="20"/>
                <w:szCs w:val="20"/>
                <w:shd w:fill="auto" w:val="clear"/>
                <w:lang w:val="en-GB" w:eastAsia="en-GB" w:bidi="ar-SA"/>
              </w:rPr>
            </w:pPr>
            <w:r>
              <w:rPr>
                <w:rFonts w:eastAsia="Times New Roman" w:cs="Calibri"/>
                <w:color w:val="000000"/>
                <w:kern w:val="0"/>
                <w:sz w:val="20"/>
                <w:szCs w:val="20"/>
                <w:shd w:fill="auto" w:val="clear"/>
                <w:lang w:val="en-GB" w:eastAsia="en-GB" w:bidi="ar-SA"/>
              </w:rPr>
            </w:r>
          </w:p>
        </w:tc>
        <w:tc>
          <w:tcPr>
            <w:tcW w:w="978"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865" w:type="dxa"/>
            <w:tcBorders>
              <w:top w:val="single" w:sz="4" w:space="0" w:color="000000"/>
              <w:bottom w:val="single" w:sz="4" w:space="0" w:color="000000"/>
              <w:right w:val="single" w:sz="4" w:space="0" w:color="000000"/>
            </w:tcBorders>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98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275" w:type="dxa"/>
            <w:tcBorders>
              <w:top w:val="single" w:sz="4" w:space="0" w:color="000000"/>
              <w:bottom w:val="single" w:sz="4" w:space="0" w:color="000000"/>
              <w:right w:val="single" w:sz="4" w:space="0" w:color="000000"/>
            </w:tcBorders>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360" w:type="dxa"/>
            <w:tcBorders>
              <w:top w:val="single" w:sz="4" w:space="0" w:color="000000"/>
              <w:bottom w:val="single" w:sz="4" w:space="0" w:color="000000"/>
              <w:right w:val="single" w:sz="4" w:space="0" w:color="000000"/>
            </w:tcBorders>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417"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r>
      <w:tr>
        <w:trPr>
          <w:trHeight w:val="585" w:hRule="atLeast"/>
        </w:trPr>
        <w:tc>
          <w:tcPr>
            <w:tcW w:w="1149"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TA</w:t>
            </w:r>
          </w:p>
        </w:tc>
        <w:tc>
          <w:tcPr>
            <w:tcW w:w="978"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TB</w:t>
            </w:r>
          </w:p>
        </w:tc>
        <w:tc>
          <w:tcPr>
            <w:tcW w:w="86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TC</w:t>
            </w:r>
          </w:p>
        </w:tc>
        <w:tc>
          <w:tcPr>
            <w:tcW w:w="1984"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TD</w:t>
            </w:r>
          </w:p>
        </w:tc>
        <w:tc>
          <w:tcPr>
            <w:tcW w:w="127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ascii="Calibri" w:hAnsi="Calibri" w:eastAsia="Times New Roman" w:cs="Calibri"/>
                <w:color w:val="auto"/>
                <w:kern w:val="0"/>
                <w:sz w:val="20"/>
                <w:szCs w:val="20"/>
                <w:shd w:fill="auto" w:val="clear"/>
                <w:lang w:val="en-GB" w:eastAsia="en-GB" w:bidi="ar-SA"/>
              </w:rPr>
            </w:pPr>
            <w:r>
              <w:rPr>
                <w:rFonts w:eastAsia="Times New Roman" w:cs="Calibri"/>
                <w:color w:val="000000"/>
                <w:kern w:val="0"/>
                <w:sz w:val="20"/>
                <w:szCs w:val="20"/>
                <w:shd w:fill="auto" w:val="clear"/>
                <w:lang w:val="en-GB" w:eastAsia="en-GB" w:bidi="ar-SA"/>
              </w:rPr>
              <w:t>TE</w:t>
            </w:r>
          </w:p>
        </w:tc>
        <w:tc>
          <w:tcPr>
            <w:tcW w:w="1360"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TF</w:t>
            </w:r>
          </w:p>
        </w:tc>
        <w:tc>
          <w:tcPr>
            <w:tcW w:w="1417"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TG</w:t>
            </w:r>
          </w:p>
        </w:tc>
      </w:tr>
    </w:tbl>
    <w:p>
      <w:pPr>
        <w:pStyle w:val="Normal"/>
        <w:rPr>
          <w:shd w:fill="auto" w:val="clear"/>
        </w:rPr>
      </w:pPr>
      <w:r>
        <w:rPr>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shd w:fill="auto" w:val="clear"/>
        </w:rPr>
      </w:pPr>
      <w:r>
        <w:rPr>
          <w:b/>
          <w:bCs/>
          <w:sz w:val="20"/>
          <w:szCs w:val="20"/>
          <w:u w:val="single"/>
          <w:shd w:fill="auto" w:val="clear"/>
        </w:rPr>
        <w:t>Referrals by Trust and Specialty</w:t>
      </w:r>
    </w:p>
    <w:p>
      <w:pPr>
        <w:pStyle w:val="Normal"/>
        <w:rPr>
          <w:shd w:fill="auto" w:val="clear"/>
        </w:rPr>
      </w:pPr>
      <w:r>
        <w:rPr>
          <w:sz w:val="20"/>
          <w:szCs w:val="20"/>
          <w:shd w:fill="auto" w:val="clear"/>
        </w:rPr>
        <w:t xml:space="preserve">The distribution of referrals from different employing Trusts varies each year. In currentYearSlash, Southampton had the highest number of referrals to the PSU (21% of all referrals) - see table 4, however, as a percentage of its trainees this remained low at 4%.  Of </w:t>
      </w:r>
      <w:r>
        <w:rPr>
          <w:sz w:val="20"/>
          <w:szCs w:val="20"/>
          <w:u w:val="none"/>
          <w:shd w:fill="auto" w:val="clear"/>
        </w:rPr>
        <w:t>note</w:t>
      </w:r>
      <w:r>
        <w:rPr>
          <w:sz w:val="20"/>
          <w:szCs w:val="20"/>
          <w:shd w:fill="auto" w:val="clear"/>
        </w:rPr>
        <w:t xml:space="preserve">: </w:t>
      </w:r>
    </w:p>
    <w:p>
      <w:pPr>
        <w:pStyle w:val="ListParagraph"/>
        <w:numPr>
          <w:ilvl w:val="1"/>
          <w:numId w:val="4"/>
        </w:numPr>
        <w:rPr>
          <w:shd w:fill="auto" w:val="clear"/>
        </w:rPr>
      </w:pPr>
      <w:r>
        <w:rPr>
          <w:sz w:val="20"/>
          <w:szCs w:val="20"/>
          <w:shd w:fill="auto" w:val="clear"/>
        </w:rPr>
        <w:t>Higher total referrals from the larger hospitals - Southampton, Portsmouth, Poole and HHFT</w:t>
      </w:r>
    </w:p>
    <w:p>
      <w:pPr>
        <w:pStyle w:val="ListParagraph"/>
        <w:numPr>
          <w:ilvl w:val="1"/>
          <w:numId w:val="4"/>
        </w:numPr>
        <w:rPr>
          <w:shd w:fill="auto" w:val="clear"/>
        </w:rPr>
      </w:pPr>
      <w:r>
        <w:rPr>
          <w:sz w:val="20"/>
          <w:szCs w:val="20"/>
          <w:shd w:fill="auto" w:val="clear"/>
        </w:rPr>
        <w:t>Looking at percentage of trainees in a Trust referred to the PSU, slightly higher referrals from IOW, Jersey and Poole and lower referrals from Salisbury</w:t>
      </w:r>
    </w:p>
    <w:p>
      <w:pPr>
        <w:pStyle w:val="Normal"/>
        <w:ind w:left="1080" w:hanging="1080"/>
        <w:rPr>
          <w:shd w:fill="auto" w:val="clear"/>
        </w:rPr>
      </w:pPr>
      <w:r>
        <w:rPr>
          <w:b/>
          <w:bCs/>
          <w:sz w:val="20"/>
          <w:szCs w:val="20"/>
          <w:shd w:fill="auto" w:val="clear"/>
        </w:rPr>
        <w:t xml:space="preserve">Table 4 – referrals broken down by Trust  </w:t>
      </w:r>
    </w:p>
    <w:tbl>
      <w:tblPr>
        <w:tblStyle w:val="TableGrid"/>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08"/>
        <w:gridCol w:w="1565"/>
        <w:gridCol w:w="1402"/>
        <w:gridCol w:w="1582"/>
        <w:gridCol w:w="1346"/>
        <w:gridCol w:w="1560"/>
      </w:tblGrid>
      <w:tr>
        <w:trPr/>
        <w:tc>
          <w:tcPr>
            <w:tcW w:w="1808"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Trust</w:t>
            </w:r>
          </w:p>
        </w:tc>
        <w:tc>
          <w:tcPr>
            <w:tcW w:w="1565"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of referrals</w:t>
            </w:r>
          </w:p>
        </w:tc>
        <w:tc>
          <w:tcPr>
            <w:tcW w:w="1402"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in Trust</w:t>
            </w:r>
          </w:p>
        </w:tc>
        <w:tc>
          <w:tcPr>
            <w:tcW w:w="1582"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Trainees in Trust referred to PSU</w:t>
            </w:r>
          </w:p>
        </w:tc>
        <w:tc>
          <w:tcPr>
            <w:tcW w:w="1346"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all Wessex trainees</w:t>
            </w:r>
          </w:p>
        </w:tc>
        <w:tc>
          <w:tcPr>
            <w:tcW w:w="1560"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referrals to PSU</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Bournemouth</w:t>
            </w:r>
          </w:p>
        </w:tc>
        <w:tc>
          <w:tcPr>
            <w:tcW w:w="1565" w:type="dxa"/>
            <w:tcBorders/>
          </w:tcPr>
          <w:p>
            <w:pPr>
              <w:pStyle w:val="Normal"/>
              <w:widowControl w:val="false"/>
              <w:suppressAutoHyphens w:val="true"/>
              <w:spacing w:lineRule="auto" w:line="240" w:before="0" w:after="0"/>
              <w:jc w:val="center"/>
              <w:rPr>
                <w:rFonts w:cs="Calibri"/>
                <w:bCs/>
                <w:sz w:val="20"/>
                <w:szCs w:val="20"/>
                <w:shd w:fill="auto" w:val="clear"/>
              </w:rPr>
            </w:pPr>
            <w:r>
              <w:rPr>
                <w:rFonts w:cs="Calibri" w:cstheme="minorHAnsi"/>
                <w:bCs/>
                <w:kern w:val="0"/>
                <w:sz w:val="20"/>
                <w:szCs w:val="20"/>
                <w:shd w:fill="auto" w:val="clear"/>
                <w:lang w:val="en-GB" w:eastAsia="en-US" w:bidi="ar-SA"/>
              </w:rPr>
              <w:t>TA</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TM</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TY</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T1K</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T1W</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Dorchester</w:t>
            </w:r>
          </w:p>
        </w:tc>
        <w:tc>
          <w:tcPr>
            <w:tcW w:w="1565" w:type="dxa"/>
            <w:tcBorders/>
          </w:tcPr>
          <w:p>
            <w:pPr>
              <w:pStyle w:val="Normal"/>
              <w:widowControl w:val="false"/>
              <w:suppressAutoHyphens w:val="true"/>
              <w:spacing w:lineRule="auto" w:line="240" w:before="0" w:after="0"/>
              <w:jc w:val="center"/>
              <w:rPr>
                <w:rFonts w:cs="Calibri"/>
                <w:bCs/>
                <w:sz w:val="20"/>
                <w:szCs w:val="20"/>
                <w:shd w:fill="auto" w:val="clear"/>
              </w:rPr>
            </w:pPr>
            <w:r>
              <w:rPr>
                <w:rFonts w:cs="Calibri" w:cstheme="minorHAnsi"/>
                <w:bCs/>
                <w:kern w:val="0"/>
                <w:sz w:val="20"/>
                <w:szCs w:val="20"/>
                <w:shd w:fill="auto" w:val="clear"/>
                <w:lang w:val="en-GB" w:eastAsia="en-US" w:bidi="ar-SA"/>
              </w:rPr>
              <w:t>TB</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TN</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TZ</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T1L</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T1X</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Dorset</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TC</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TO</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T1A</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T1M</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T1Y</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HHFT</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TD</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TP</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T1B</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T1N</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T1Z</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IOW</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TE</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TQ</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rPr>
                <w:rFonts w:eastAsia="ＭＳ 明朝" w:cs="Arial"/>
                <w:bCs/>
                <w:color w:val="000000"/>
                <w:kern w:val="0"/>
                <w:sz w:val="20"/>
                <w:szCs w:val="20"/>
                <w:shd w:fill="auto" w:val="clear"/>
                <w:lang w:val="en-GB" w:eastAsia="en-US" w:bidi="ar-SA"/>
              </w:rPr>
              <w:t>T1C</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T1O</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T2A</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Jersey</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TF</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TR</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rPr>
                <w:rFonts w:eastAsia="ＭＳ 明朝" w:cs="Arial"/>
                <w:bCs/>
                <w:color w:val="000000"/>
                <w:kern w:val="0"/>
                <w:sz w:val="20"/>
                <w:szCs w:val="20"/>
                <w:shd w:fill="auto" w:val="clear"/>
                <w:lang w:val="en-GB" w:eastAsia="en-US" w:bidi="ar-SA"/>
              </w:rPr>
              <w:t>T1D</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T1P</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T2B</w:t>
            </w:r>
          </w:p>
        </w:tc>
      </w:tr>
      <w:tr>
        <w:trPr>
          <w:trHeight w:val="243" w:hRule="atLeast"/>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Poole</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TG</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TS</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rPr>
                <w:rFonts w:eastAsia="ＭＳ 明朝" w:cs="Arial"/>
                <w:bCs/>
                <w:color w:val="000000"/>
                <w:kern w:val="0"/>
                <w:sz w:val="20"/>
                <w:szCs w:val="20"/>
                <w:shd w:fill="auto" w:val="clear"/>
                <w:lang w:val="en-GB" w:eastAsia="en-US" w:bidi="ar-SA"/>
              </w:rPr>
              <w:t>T1E</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T1Q</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T2C</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Portsmouth</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TH</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TT</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T1F</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T1R</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T2D</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Salisbury</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TI</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TU</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rPr>
                <w:rFonts w:eastAsia="ＭＳ 明朝" w:cs="Arial"/>
                <w:bCs/>
                <w:color w:val="000000"/>
                <w:kern w:val="0"/>
                <w:sz w:val="20"/>
                <w:szCs w:val="20"/>
                <w:shd w:fill="auto" w:val="clear"/>
                <w:lang w:val="en-GB" w:eastAsia="en-US" w:bidi="ar-SA"/>
              </w:rPr>
              <w:t>T1G</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T1S</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T2E</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Solent</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TJ</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TV</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T1H</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T1T</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T2F</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Southampton</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TK</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TW</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T1I</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T1U</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eastAsiaTheme="minorEastAsia"/>
                <w:b/>
                <w:b/>
                <w:color w:val="auto"/>
                <w:kern w:val="0"/>
                <w:sz w:val="20"/>
                <w:szCs w:val="20"/>
                <w:shd w:fill="auto" w:val="clear"/>
                <w:lang w:val="en-GB" w:eastAsia="en-US" w:bidi="ar-SA"/>
              </w:rPr>
            </w:pPr>
            <w:r>
              <w:rPr>
                <w:rFonts w:eastAsia="ＭＳ 明朝" w:cs="Calibri" w:eastAsiaTheme="minorEastAsia"/>
                <w:b/>
                <w:color w:val="000000"/>
                <w:kern w:val="0"/>
                <w:sz w:val="20"/>
                <w:szCs w:val="20"/>
                <w:shd w:fill="auto" w:val="clear"/>
                <w:lang w:val="en-GB" w:eastAsia="en-US" w:bidi="ar-SA"/>
              </w:rPr>
              <w:t>T2G</w:t>
            </w:r>
          </w:p>
        </w:tc>
      </w:tr>
      <w:tr>
        <w:trPr>
          <w:trHeight w:val="321" w:hRule="atLeast"/>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Southern Health</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TL</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TX</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T1J</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T1V</w:t>
            </w:r>
          </w:p>
        </w:tc>
        <w:tc>
          <w:tcPr>
            <w:tcW w:w="1560" w:type="dxa"/>
            <w:tcBorders/>
            <w:vAlign w:val="bottom"/>
          </w:tcPr>
          <w:p>
            <w:pPr>
              <w:pStyle w:val="Normal"/>
              <w:widowControl w:val="false"/>
              <w:suppressAutoHyphens w:val="true"/>
              <w:spacing w:lineRule="auto" w:line="240" w:before="0" w:after="0"/>
              <w:jc w:val="center"/>
              <w:rPr>
                <w:rFonts w:eastAsia="ＭＳ 明朝" w:cs="Calibri"/>
                <w:b/>
                <w:b/>
                <w:bCs/>
                <w:color w:val="000000"/>
                <w:kern w:val="0"/>
                <w:sz w:val="22"/>
                <w:szCs w:val="22"/>
                <w:u w:val="none"/>
                <w:shd w:fill="auto" w:val="clear"/>
                <w:lang w:val="en-GB" w:eastAsia="en-US" w:bidi="ar-SA"/>
              </w:rPr>
            </w:pPr>
            <w:r>
              <w:rPr>
                <w:rFonts w:eastAsia="ＭＳ 明朝" w:cs="Calibri"/>
                <w:b/>
                <w:bCs/>
                <w:color w:val="000000"/>
                <w:kern w:val="0"/>
                <w:sz w:val="22"/>
                <w:szCs w:val="22"/>
                <w:u w:val="none"/>
                <w:shd w:fill="auto" w:val="clear"/>
                <w:lang w:val="en-GB" w:eastAsia="en-US" w:bidi="ar-SA"/>
              </w:rPr>
              <w:t>T2H</w:t>
            </w:r>
          </w:p>
        </w:tc>
      </w:tr>
    </w:tbl>
    <w:p>
      <w:pPr>
        <w:pStyle w:val="Normal"/>
        <w:rPr>
          <w:shd w:fill="auto" w:val="clear"/>
        </w:rPr>
      </w:pPr>
      <w:r>
        <w:rPr>
          <w:shd w:fill="auto" w:val="clear"/>
        </w:rPr>
      </w:r>
    </w:p>
    <w:p>
      <w:pPr>
        <w:pStyle w:val="Normal"/>
        <w:rPr>
          <w:shd w:fill="auto" w:val="clear"/>
        </w:rPr>
      </w:pPr>
      <w:r>
        <w:rPr>
          <w:sz w:val="20"/>
          <w:szCs w:val="20"/>
          <w:shd w:fill="auto" w:val="clear"/>
        </w:rPr>
        <w:t>(Including GP trainees in Trust posts; 7 trainees OOP at time of referral; Dental trainees in Trust not shown above)</w:t>
      </w:r>
    </w:p>
    <w:p>
      <w:pPr>
        <w:pStyle w:val="Normal"/>
        <w:rPr>
          <w:shd w:fill="auto" w:val="clear"/>
        </w:rPr>
      </w:pPr>
      <w:r>
        <w:rPr>
          <w:rFonts w:cs="Calibri" w:cstheme="minorHAnsi"/>
          <w:sz w:val="20"/>
          <w:szCs w:val="20"/>
          <w:shd w:fill="auto" w:val="clear"/>
        </w:rPr>
        <w:t>Table 5 contains specialty specific data. It’s worth noting that out of the 131 referrals:</w:t>
      </w:r>
    </w:p>
    <w:p>
      <w:pPr>
        <w:pStyle w:val="ListParagraph"/>
        <w:numPr>
          <w:ilvl w:val="1"/>
          <w:numId w:val="4"/>
        </w:numPr>
        <w:ind w:left="1080" w:hanging="360"/>
        <w:rPr>
          <w:shd w:fill="auto" w:val="clear"/>
        </w:rPr>
      </w:pPr>
      <w:r>
        <w:rPr>
          <w:sz w:val="20"/>
          <w:szCs w:val="20"/>
          <w:shd w:fill="auto" w:val="clear"/>
        </w:rPr>
        <w:t>Nearly half of the trainees supported by the PSU were from General practice (trust and GP posts) and medicine.</w:t>
      </w:r>
    </w:p>
    <w:p>
      <w:pPr>
        <w:pStyle w:val="Normal"/>
        <w:rPr>
          <w:sz w:val="20"/>
          <w:szCs w:val="20"/>
          <w:shd w:fill="auto" w:val="clear"/>
        </w:rPr>
      </w:pPr>
      <w:r>
        <w:rPr>
          <w:sz w:val="20"/>
          <w:szCs w:val="20"/>
          <w:shd w:fill="auto" w:val="clear"/>
        </w:rPr>
      </w:r>
    </w:p>
    <w:p>
      <w:pPr>
        <w:pStyle w:val="Normal"/>
        <w:rPr>
          <w:shd w:fill="auto" w:val="clear"/>
        </w:rPr>
      </w:pPr>
      <w:r>
        <w:rPr>
          <w:rFonts w:cs="Calibri" w:cstheme="minorHAnsi"/>
          <w:b/>
          <w:sz w:val="20"/>
          <w:szCs w:val="20"/>
          <w:shd w:fill="auto" w:val="clear"/>
        </w:rPr>
        <w:t>Table 5 – referrals broken down by Specialty</w:t>
      </w:r>
    </w:p>
    <w:tbl>
      <w:tblPr>
        <w:tblStyle w:val="TableGrid"/>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35"/>
        <w:gridCol w:w="1404"/>
        <w:gridCol w:w="1275"/>
        <w:gridCol w:w="1571"/>
        <w:gridCol w:w="1372"/>
        <w:gridCol w:w="1406"/>
      </w:tblGrid>
      <w:tr>
        <w:trPr/>
        <w:tc>
          <w:tcPr>
            <w:tcW w:w="2235"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Specialty</w:t>
            </w:r>
          </w:p>
        </w:tc>
        <w:tc>
          <w:tcPr>
            <w:tcW w:w="1404"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of referrals</w:t>
            </w:r>
          </w:p>
        </w:tc>
        <w:tc>
          <w:tcPr>
            <w:tcW w:w="1275"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in specialty</w:t>
            </w:r>
          </w:p>
        </w:tc>
        <w:tc>
          <w:tcPr>
            <w:tcW w:w="1571"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trainees in Specialty referred to PSU</w:t>
            </w:r>
          </w:p>
        </w:tc>
        <w:tc>
          <w:tcPr>
            <w:tcW w:w="1372"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Specialty as % of Wessex trainees</w:t>
            </w:r>
          </w:p>
        </w:tc>
        <w:tc>
          <w:tcPr>
            <w:tcW w:w="1406"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referrals to PSU</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Anaesthetics</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TA</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TP</w:t>
            </w:r>
          </w:p>
        </w:tc>
        <w:tc>
          <w:tcPr>
            <w:tcW w:w="1571" w:type="dxa"/>
            <w:tcBorders/>
          </w:tcPr>
          <w:p>
            <w:pPr>
              <w:pStyle w:val="Normal"/>
              <w:widowControl w:val="false"/>
              <w:suppressAutoHyphens w:val="true"/>
              <w:spacing w:lineRule="auto" w:line="240" w:before="0" w:after="0"/>
              <w:jc w:val="center"/>
              <w:rPr>
                <w:sz w:val="20"/>
                <w:szCs w:val="20"/>
                <w:shd w:fill="auto" w:val="clear"/>
              </w:rPr>
            </w:pPr>
            <w:r>
              <w:rPr>
                <w:rFonts w:cs="Arial"/>
                <w:kern w:val="0"/>
                <w:sz w:val="20"/>
                <w:szCs w:val="20"/>
                <w:shd w:fill="auto" w:val="clear"/>
                <w:lang w:val="en-GB" w:eastAsia="en-US" w:bidi="ar-SA"/>
              </w:rPr>
              <w:t>T1E</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T1T</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T2I</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Dental</w:t>
            </w:r>
          </w:p>
        </w:tc>
        <w:tc>
          <w:tcPr>
            <w:tcW w:w="1404"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z w:val="22"/>
                <w:szCs w:val="22"/>
                <w:shd w:fill="auto" w:val="clear"/>
                <w:lang w:val="en-GB" w:eastAsia="en-US" w:bidi="ar-SA"/>
              </w:rPr>
              <w:t>TB</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TQ</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T1F</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T1U</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T2J</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Emerg Medicine</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TC</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TR</w:t>
            </w:r>
          </w:p>
        </w:tc>
        <w:tc>
          <w:tcPr>
            <w:tcW w:w="1571" w:type="dxa"/>
            <w:tcBorders/>
          </w:tcPr>
          <w:p>
            <w:pPr>
              <w:pStyle w:val="Normal"/>
              <w:widowControl w:val="false"/>
              <w:suppressAutoHyphens w:val="true"/>
              <w:spacing w:lineRule="auto" w:line="240" w:before="0" w:after="0"/>
              <w:jc w:val="center"/>
              <w:rPr>
                <w:sz w:val="20"/>
                <w:szCs w:val="20"/>
                <w:shd w:fill="auto" w:val="clear"/>
              </w:rPr>
            </w:pPr>
            <w:r>
              <w:rPr>
                <w:rFonts w:cs="Arial"/>
                <w:kern w:val="0"/>
                <w:sz w:val="20"/>
                <w:szCs w:val="20"/>
                <w:shd w:fill="auto" w:val="clear"/>
                <w:lang w:val="en-GB" w:eastAsia="en-US" w:bidi="ar-SA"/>
              </w:rPr>
              <w:t>T1G</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T1V</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rPr>
                <w:rFonts w:cs="Calibri"/>
                <w:b/>
                <w:bCs/>
                <w:kern w:val="0"/>
                <w:shd w:fill="auto" w:val="clear"/>
                <w:lang w:val="en-GB" w:eastAsia="en-US" w:bidi="ar-SA"/>
              </w:rPr>
              <w:t>T2K</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Foundation</w:t>
            </w:r>
          </w:p>
        </w:tc>
        <w:tc>
          <w:tcPr>
            <w:tcW w:w="1404"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z w:val="22"/>
                <w:szCs w:val="22"/>
                <w:shd w:fill="auto" w:val="clear"/>
                <w:lang w:val="en-GB" w:eastAsia="en-US" w:bidi="ar-SA"/>
              </w:rPr>
              <w:t>TD</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TS</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T1H</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T1W</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rPr>
                <w:rFonts w:cs="Calibri"/>
                <w:b/>
                <w:bCs/>
                <w:kern w:val="0"/>
                <w:shd w:fill="auto" w:val="clear"/>
                <w:lang w:val="en-GB" w:eastAsia="en-US" w:bidi="ar-SA"/>
              </w:rPr>
              <w:t>T2L</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GP (trust and GP)</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TE</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TT</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T1I</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T1X</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T2M</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Medicine</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TF</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TU</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T1J</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T1Y</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T2N</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Obs &amp; Gynae</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TG</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TV</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T1K</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T1Z</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T2O</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Occupational Health</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TH</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TW</w:t>
            </w:r>
          </w:p>
        </w:tc>
        <w:tc>
          <w:tcPr>
            <w:tcW w:w="1571" w:type="dxa"/>
            <w:tcBorders/>
          </w:tcPr>
          <w:p>
            <w:pPr>
              <w:pStyle w:val="Normal"/>
              <w:widowControl w:val="false"/>
              <w:suppressAutoHyphens w:val="true"/>
              <w:spacing w:lineRule="auto" w:line="240" w:before="0" w:after="0"/>
              <w:jc w:val="center"/>
              <w:rPr>
                <w:rFonts w:ascii="Calibri" w:hAnsi="Calibri" w:eastAsia="ＭＳ 明朝" w:cs="Arial"/>
                <w:color w:val="auto"/>
                <w:kern w:val="0"/>
                <w:sz w:val="20"/>
                <w:szCs w:val="20"/>
                <w:shd w:fill="auto" w:val="clear"/>
                <w:lang w:val="en-GB" w:eastAsia="en-US" w:bidi="ar-SA"/>
              </w:rPr>
            </w:pPr>
            <w:r>
              <w:rPr>
                <w:rFonts w:eastAsia="ＭＳ 明朝" w:cs="Arial"/>
                <w:color w:val="000000"/>
                <w:kern w:val="0"/>
                <w:sz w:val="20"/>
                <w:szCs w:val="20"/>
                <w:shd w:fill="auto" w:val="clear"/>
                <w:lang w:val="en-GB" w:eastAsia="en-US" w:bidi="ar-SA"/>
              </w:rPr>
              <w:t>T1L</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T2A</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T2P</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Paediatrics</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TI</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TX</w:t>
            </w:r>
          </w:p>
        </w:tc>
        <w:tc>
          <w:tcPr>
            <w:tcW w:w="1571"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t>T1M</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T2B</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T2Q</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Pathology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TJ</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TY</w:t>
            </w:r>
          </w:p>
        </w:tc>
        <w:tc>
          <w:tcPr>
            <w:tcW w:w="1571"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t>T1N</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T2C</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T2R</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Pharmacy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TK</w:t>
            </w:r>
          </w:p>
        </w:tc>
        <w:tc>
          <w:tcPr>
            <w:tcW w:w="1275" w:type="dxa"/>
            <w:tcBorders/>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t>TZ</w:t>
            </w:r>
          </w:p>
        </w:tc>
        <w:tc>
          <w:tcPr>
            <w:tcW w:w="1571" w:type="dxa"/>
            <w:tcBorders/>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t>T1O</w:t>
            </w:r>
          </w:p>
        </w:tc>
        <w:tc>
          <w:tcPr>
            <w:tcW w:w="1372" w:type="dxa"/>
            <w:tcBorders/>
            <w:vAlign w:val="bottom"/>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t>T2D</w:t>
            </w:r>
          </w:p>
        </w:tc>
        <w:tc>
          <w:tcPr>
            <w:tcW w:w="1406" w:type="dxa"/>
            <w:tcBorders/>
            <w:vAlign w:val="bottom"/>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T2S</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Psychiatry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TL</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T1A</w:t>
            </w:r>
          </w:p>
        </w:tc>
        <w:tc>
          <w:tcPr>
            <w:tcW w:w="1571" w:type="dxa"/>
            <w:tcBorders/>
          </w:tcPr>
          <w:p>
            <w:pPr>
              <w:pStyle w:val="Normal"/>
              <w:widowControl w:val="false"/>
              <w:suppressAutoHyphens w:val="true"/>
              <w:spacing w:lineRule="auto" w:line="240" w:before="0" w:after="0"/>
              <w:jc w:val="center"/>
              <w:rPr>
                <w:sz w:val="20"/>
                <w:szCs w:val="20"/>
                <w:shd w:fill="auto" w:val="clear"/>
              </w:rPr>
            </w:pPr>
            <w:r>
              <w:rPr>
                <w:rFonts w:cs="Arial"/>
                <w:kern w:val="0"/>
                <w:sz w:val="20"/>
                <w:szCs w:val="20"/>
                <w:shd w:fill="auto" w:val="clear"/>
                <w:lang w:val="en-GB" w:eastAsia="en-US" w:bidi="ar-SA"/>
              </w:rPr>
              <w:t>T1P</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T2E</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rPr>
                <w:rFonts w:cs="Calibri"/>
                <w:b/>
                <w:bCs/>
                <w:kern w:val="0"/>
                <w:shd w:fill="auto" w:val="clear"/>
                <w:lang w:val="en-GB" w:eastAsia="en-US" w:bidi="ar-SA"/>
              </w:rPr>
              <w:t>T2T</w:t>
            </w:r>
          </w:p>
        </w:tc>
      </w:tr>
      <w:tr>
        <w:trPr/>
        <w:tc>
          <w:tcPr>
            <w:tcW w:w="2235" w:type="dxa"/>
            <w:tcBorders/>
            <w:vAlign w:val="bottom"/>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Public health</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TM</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T1B</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T1Q</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T2F</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T2U</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Radiology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TN</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T1C</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T1R</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T2G</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T2V</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Surgery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TO</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T1D</w:t>
            </w:r>
          </w:p>
        </w:tc>
        <w:tc>
          <w:tcPr>
            <w:tcW w:w="1571" w:type="dxa"/>
            <w:tcBorders/>
          </w:tcPr>
          <w:p>
            <w:pPr>
              <w:pStyle w:val="Normal"/>
              <w:widowControl w:val="false"/>
              <w:suppressAutoHyphens w:val="true"/>
              <w:spacing w:lineRule="auto" w:line="240" w:before="0" w:after="0"/>
              <w:jc w:val="center"/>
              <w:rPr>
                <w:sz w:val="20"/>
                <w:szCs w:val="20"/>
                <w:shd w:fill="auto" w:val="clear"/>
              </w:rPr>
            </w:pPr>
            <w:r>
              <w:rPr>
                <w:rFonts w:cs="Arial"/>
                <w:kern w:val="0"/>
                <w:sz w:val="20"/>
                <w:szCs w:val="20"/>
                <w:shd w:fill="auto" w:val="clear"/>
                <w:lang w:val="en-GB" w:eastAsia="en-US" w:bidi="ar-SA"/>
              </w:rPr>
              <w:t>T1S</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T2H</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rPr>
                <w:rFonts w:cs="Calibri"/>
                <w:b/>
                <w:bCs/>
                <w:kern w:val="0"/>
                <w:shd w:fill="auto" w:val="clear"/>
                <w:lang w:val="en-GB" w:eastAsia="en-US" w:bidi="ar-SA"/>
              </w:rPr>
              <w:t>T2W</w:t>
            </w:r>
          </w:p>
        </w:tc>
      </w:tr>
    </w:tbl>
    <w:p>
      <w:pPr>
        <w:pStyle w:val="Normal"/>
        <w:rPr>
          <w:shd w:fill="auto" w:val="clear"/>
        </w:rPr>
      </w:pPr>
      <w:r>
        <w:rPr>
          <w:shd w:fill="auto" w:val="clear"/>
        </w:rPr>
      </w:r>
    </w:p>
    <w:p>
      <w:pPr>
        <w:pStyle w:val="Normal"/>
        <w:rPr>
          <w:rFonts w:cs="Calibri" w:cstheme="minorHAnsi"/>
          <w:b/>
          <w:b/>
          <w:bCs/>
          <w:sz w:val="20"/>
          <w:szCs w:val="20"/>
          <w:u w:val="single"/>
          <w:shd w:fill="auto" w:val="clear"/>
        </w:rPr>
      </w:pPr>
      <w:r>
        <w:rPr>
          <w:rFonts w:cs="Calibri" w:cstheme="minorHAnsi"/>
          <w:b/>
          <w:bCs/>
          <w:sz w:val="20"/>
          <w:szCs w:val="20"/>
          <w:u w:val="single"/>
          <w:shd w:fill="auto" w:val="clear"/>
        </w:rPr>
      </w:r>
    </w:p>
    <w:p>
      <w:pPr>
        <w:pStyle w:val="Normal"/>
        <w:rPr>
          <w:rFonts w:cs="Calibri" w:cstheme="minorHAnsi"/>
          <w:b/>
          <w:b/>
          <w:bCs/>
          <w:sz w:val="20"/>
          <w:szCs w:val="20"/>
          <w:u w:val="single"/>
          <w:shd w:fill="auto" w:val="clear"/>
        </w:rPr>
      </w:pPr>
      <w:r>
        <w:rPr>
          <w:rFonts w:cs="Calibri" w:cstheme="minorHAnsi"/>
          <w:b/>
          <w:bCs/>
          <w:sz w:val="20"/>
          <w:szCs w:val="20"/>
          <w:u w:val="single"/>
          <w:shd w:fill="auto" w:val="clear"/>
        </w:rPr>
      </w:r>
    </w:p>
    <w:p>
      <w:pPr>
        <w:pStyle w:val="Normal"/>
        <w:rPr>
          <w:shd w:fill="auto" w:val="clear"/>
        </w:rPr>
      </w:pPr>
      <w:r>
        <w:rPr>
          <w:rFonts w:cs="Calibri" w:cstheme="minorHAnsi"/>
          <w:b/>
          <w:bCs/>
          <w:sz w:val="20"/>
          <w:szCs w:val="20"/>
          <w:u w:val="single"/>
          <w:shd w:fill="auto" w:val="clear"/>
        </w:rPr>
        <w:t xml:space="preserve">Open case review </w:t>
      </w:r>
    </w:p>
    <w:p>
      <w:pPr>
        <w:pStyle w:val="Normal"/>
        <w:rPr>
          <w:shd w:fill="auto" w:val="clear"/>
        </w:rPr>
      </w:pPr>
      <w:r>
        <w:rPr>
          <w:rFonts w:cs="Calibri" w:cstheme="minorHAnsi"/>
          <w:bCs/>
          <w:sz w:val="20"/>
          <w:szCs w:val="20"/>
          <w:shd w:fill="auto" w:val="clear"/>
        </w:rPr>
        <w:t xml:space="preserve">Case Managers with cases that have been open a long time are encouraged to discuss them in peer supervision sessions. These are also often flagged to the Serious Concerns Group as they tend to be associated with high ongoing costs breaking the notional £1000 ceiling per training for PSU support. </w:t>
      </w:r>
    </w:p>
    <w:p>
      <w:pPr>
        <w:pStyle w:val="ListParagraph"/>
        <w:numPr>
          <w:ilvl w:val="0"/>
          <w:numId w:val="3"/>
        </w:numPr>
        <w:ind w:left="426" w:hanging="360"/>
        <w:rPr>
          <w:shd w:fill="auto" w:val="clear"/>
        </w:rPr>
      </w:pPr>
      <w:r>
        <w:rPr>
          <w:rFonts w:cs="Calibri" w:cstheme="minorHAnsi"/>
          <w:bCs/>
          <w:sz w:val="20"/>
          <w:szCs w:val="20"/>
          <w:shd w:fill="auto" w:val="clear"/>
        </w:rPr>
        <w:t>Figure 5 compares the duration of currently open cases over the last 3 years</w:t>
      </w:r>
    </w:p>
    <w:p>
      <w:pPr>
        <w:pStyle w:val="ListParagraph"/>
        <w:numPr>
          <w:ilvl w:val="0"/>
          <w:numId w:val="3"/>
        </w:numPr>
        <w:ind w:left="426" w:hanging="360"/>
        <w:rPr>
          <w:shd w:fill="auto" w:val="clear"/>
        </w:rPr>
      </w:pPr>
      <w:r>
        <w:rPr>
          <w:rFonts w:cs="Calibri" w:cstheme="minorHAnsi"/>
          <w:bCs/>
          <w:sz w:val="20"/>
          <w:szCs w:val="20"/>
          <w:shd w:fill="auto" w:val="clear"/>
        </w:rPr>
        <w:t>The graph shows a slight drop in cases remaining open for &gt;2 years</w:t>
      </w:r>
    </w:p>
    <w:p>
      <w:pPr>
        <w:pStyle w:val="ListParagraph"/>
        <w:numPr>
          <w:ilvl w:val="0"/>
          <w:numId w:val="3"/>
        </w:numPr>
        <w:ind w:left="426" w:hanging="360"/>
        <w:rPr>
          <w:shd w:fill="auto" w:val="clear"/>
        </w:rPr>
      </w:pPr>
      <w:r>
        <w:rPr>
          <w:rFonts w:cs="Calibri" w:cstheme="minorHAnsi"/>
          <w:bCs/>
          <w:sz w:val="20"/>
          <w:szCs w:val="20"/>
          <w:shd w:fill="auto" w:val="clear"/>
        </w:rPr>
        <w:t>There are significant numbers of trainees with health issues in this second peak – figure 6</w:t>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shd w:fill="auto" w:val="clear"/>
        </w:rPr>
      </w:pPr>
      <w:r>
        <w:rPr>
          <w:rFonts w:cs="Calibri" w:cstheme="minorHAnsi"/>
          <w:b/>
          <w:bCs/>
          <w:sz w:val="20"/>
          <w:szCs w:val="20"/>
          <w:shd w:fill="auto" w:val="clear"/>
        </w:rPr>
        <w:t>Fig. 5 - Duration of PSU input for current open cases</w:t>
      </w:r>
    </w:p>
    <w:p>
      <w:pPr>
        <w:pStyle w:val="Normal"/>
        <w:rPr>
          <w:shd w:fill="auto" w:val="clear"/>
        </w:rPr>
      </w:pPr>
      <w:r>
        <w:rPr/>
        <w:drawing>
          <wp:inline distT="0" distB="0" distL="0" distR="0">
            <wp:extent cx="5543550" cy="297180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rFonts w:cs="Calibri" w:cstheme="minorHAnsi"/>
          <w:b/>
          <w:bCs/>
          <w:sz w:val="20"/>
          <w:szCs w:val="20"/>
          <w:shd w:fill="auto" w:val="clear"/>
        </w:rPr>
        <w:t>Fig. 6 - Reasons for referrals open longer than 24months</w:t>
      </w:r>
    </w:p>
    <w:p>
      <w:pPr>
        <w:pStyle w:val="Normal"/>
        <w:rPr>
          <w:shd w:fill="auto" w:val="clear"/>
        </w:rPr>
      </w:pPr>
      <w:r>
        <w:rPr/>
        <w:drawing>
          <wp:inline distT="0" distB="0" distL="0" distR="0">
            <wp:extent cx="5086350" cy="2768600"/>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cs="Calibri" w:cstheme="minorHAnsi"/>
          <w:sz w:val="20"/>
          <w:szCs w:val="20"/>
          <w:shd w:fill="auto" w:val="clear"/>
        </w:rPr>
        <w:b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ind w:left="567" w:hanging="567"/>
        <w:rPr>
          <w:shd w:fill="auto" w:val="clear"/>
        </w:rPr>
      </w:pPr>
      <w:r>
        <w:rPr>
          <w:rFonts w:eastAsia="Calibri" w:cs="Calibri"/>
          <w:b/>
          <w:bCs/>
          <w:sz w:val="20"/>
          <w:szCs w:val="20"/>
          <w:u w:val="single"/>
          <w:shd w:fill="auto" w:val="clear"/>
        </w:rPr>
        <w:t>Rolling Analysis of Case Closure (Form F</w:t>
      </w:r>
      <w:r>
        <w:rPr>
          <w:rFonts w:eastAsia="Calibri" w:cs="Calibri"/>
          <w:b/>
          <w:bCs/>
          <w:sz w:val="20"/>
          <w:szCs w:val="20"/>
          <w:shd w:fill="auto" w:val="clear"/>
        </w:rPr>
        <w:t>)</w:t>
      </w:r>
    </w:p>
    <w:p>
      <w:pPr>
        <w:pStyle w:val="Normal"/>
        <w:rPr/>
      </w:pPr>
      <w:r>
        <w:rPr>
          <w:rStyle w:val="Normaltextrun"/>
          <w:rFonts w:cs="Calibri"/>
          <w:color w:val="000000"/>
          <w:sz w:val="20"/>
          <w:szCs w:val="20"/>
          <w:shd w:fill="auto" w:val="clear"/>
        </w:rPr>
        <w:t xml:space="preserve">Every Case Manager completes a Form F at the point of case closure; part of that form is a categorisation of outcome, and the breakdown of all case closure categories is shown below. We have </w:t>
      </w:r>
      <w:r>
        <w:rPr>
          <w:rStyle w:val="Normaltextrun"/>
          <w:rFonts w:cs="Calibri"/>
          <w:sz w:val="20"/>
          <w:szCs w:val="20"/>
          <w:shd w:fill="auto" w:val="clear"/>
        </w:rPr>
        <w:t xml:space="preserve">data from 681 closed </w:t>
      </w:r>
      <w:r>
        <w:rPr>
          <w:rStyle w:val="Normaltextrun"/>
          <w:rFonts w:cs="Calibri"/>
          <w:color w:val="000000"/>
          <w:sz w:val="20"/>
          <w:szCs w:val="20"/>
          <w:shd w:fill="auto" w:val="clear"/>
        </w:rPr>
        <w:t xml:space="preserve">cases between September </w:t>
      </w:r>
      <w:r>
        <w:rPr>
          <w:rStyle w:val="Normaltextrun"/>
          <w:rFonts w:eastAsia="ＭＳ 明朝" w:cs="Calibri"/>
          <w:color w:val="000000"/>
          <w:kern w:val="0"/>
          <w:sz w:val="20"/>
          <w:szCs w:val="20"/>
          <w:shd w:fill="auto" w:val="clear"/>
          <w:lang w:val="en-GB" w:eastAsia="en-US" w:bidi="ar-SA"/>
        </w:rPr>
        <w:t>sixYearsAgo</w:t>
      </w:r>
      <w:r>
        <w:rPr>
          <w:rStyle w:val="Normaltextrun"/>
          <w:rFonts w:cs="Calibri"/>
          <w:color w:val="000000"/>
          <w:sz w:val="20"/>
          <w:szCs w:val="20"/>
          <w:shd w:fill="auto" w:val="clear"/>
        </w:rPr>
        <w:t xml:space="preserve"> and March currentYear. It is difficult to quantify a positive outcome as for some trainees leaving medicine is the best outcome. The Outcomes are listed below.  </w:t>
      </w:r>
      <w:r>
        <w:rPr>
          <w:rStyle w:val="Eop"/>
          <w:rFonts w:cs="Calibri"/>
          <w:color w:val="000000"/>
          <w:sz w:val="20"/>
          <w:szCs w:val="20"/>
          <w:shd w:fill="auto" w:val="clear"/>
        </w:rPr>
        <w:t> </w:t>
      </w:r>
    </w:p>
    <w:p>
      <w:pPr>
        <w:pStyle w:val="Normal"/>
        <w:rPr>
          <w:rFonts w:ascii="Calibri" w:hAnsi="Calibri" w:cs="Calibri"/>
          <w:color w:val="000000"/>
          <w:sz w:val="20"/>
          <w:szCs w:val="20"/>
          <w:shd w:fill="auto" w:val="clear"/>
        </w:rPr>
      </w:pPr>
      <w:r>
        <w:rPr>
          <w:rFonts w:cs="Calibri"/>
          <w:color w:val="000000"/>
          <w:sz w:val="20"/>
          <w:szCs w:val="20"/>
          <w:shd w:fill="auto" w:val="clear"/>
        </w:rPr>
      </w:r>
    </w:p>
    <w:p>
      <w:pPr>
        <w:pStyle w:val="Normal"/>
        <w:rPr>
          <w:shd w:fill="auto" w:val="clear"/>
        </w:rPr>
      </w:pPr>
      <w:r>
        <w:rPr>
          <w:b/>
          <w:bCs/>
          <w:sz w:val="20"/>
          <w:szCs w:val="20"/>
          <w:shd w:fill="auto" w:val="clear"/>
        </w:rPr>
        <w:t>Fig. 7 – Rolling Analysis of case closures</w:t>
      </w:r>
    </w:p>
    <w:p>
      <w:pPr>
        <w:pStyle w:val="Normal"/>
        <w:rPr>
          <w:shd w:fill="auto" w:val="clear"/>
        </w:rPr>
      </w:pPr>
      <w:r>
        <w:rPr/>
        <w:drawing>
          <wp:inline distT="0" distB="0" distL="0" distR="0">
            <wp:extent cx="5518150" cy="2472055"/>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sz w:val="20"/>
          <w:szCs w:val="20"/>
          <w:shd w:fill="auto" w:val="clear"/>
        </w:rPr>
      </w:pPr>
      <w:r>
        <w:rPr>
          <w:sz w:val="20"/>
          <w:szCs w:val="20"/>
          <w:shd w:fill="auto" w:val="clear"/>
        </w:rPr>
      </w:r>
    </w:p>
    <w:p>
      <w:pPr>
        <w:pStyle w:val="Normal"/>
        <w:rPr>
          <w:shd w:fill="auto" w:val="clear"/>
        </w:rPr>
      </w:pPr>
      <w:r>
        <w:rPr>
          <w:rFonts w:eastAsia="Calibri" w:cs="Calibri"/>
          <w:b/>
          <w:bCs/>
          <w:sz w:val="20"/>
          <w:szCs w:val="20"/>
          <w:u w:val="single"/>
          <w:shd w:fill="auto" w:val="clear"/>
        </w:rPr>
        <w:t>Specialist Support Group (SSG) referral reasons</w:t>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Case managers have access to the specialist support group as per the updated Asperger’s, Dyslexia and Exam support pathways.  </w:t>
      </w:r>
    </w:p>
    <w:p>
      <w:pPr>
        <w:pStyle w:val="Normal"/>
        <w:spacing w:lineRule="auto" w:line="240" w:before="0" w:after="0"/>
        <w:jc w:val="both"/>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 xml:space="preserve">Coaching training for the CMs took place early in </w:t>
      </w:r>
      <w:r>
        <w:rPr>
          <w:rFonts w:eastAsia="Times New Roman" w:cs="Calibri"/>
          <w:color w:val="000000"/>
          <w:kern w:val="0"/>
          <w:sz w:val="20"/>
          <w:szCs w:val="20"/>
          <w:shd w:fill="auto" w:val="clear"/>
          <w:lang w:val="en-GB" w:eastAsia="en-GB" w:bidi="ar-SA"/>
        </w:rPr>
        <w:t>twoYearsAgo</w:t>
      </w:r>
      <w:r>
        <w:rPr>
          <w:rFonts w:eastAsia="Times New Roman" w:cs="Calibri"/>
          <w:sz w:val="20"/>
          <w:szCs w:val="20"/>
          <w:shd w:fill="auto" w:val="clear"/>
          <w:lang w:eastAsia="en-GB"/>
        </w:rPr>
        <w:t>, and we noted a significant reduction in requests for formal external coaching following this. The reduction in costs as a result covered the costs of the course. This is reflected in the finance graphs below (see figures 10-11). Also noted is the increase in exam/dyslexia support in Q4.</w:t>
      </w:r>
    </w:p>
    <w:p>
      <w:pPr>
        <w:sectPr>
          <w:headerReference w:type="default" r:id="rId11"/>
          <w:footerReference w:type="default" r:id="rId12"/>
          <w:type w:val="nextPage"/>
          <w:pgSz w:w="11906" w:h="16838"/>
          <w:pgMar w:left="993" w:right="1440" w:header="708" w:top="1440" w:footer="708" w:bottom="1440" w:gutter="0"/>
          <w:pgNumType w:fmt="decimal"/>
          <w:formProt w:val="false"/>
          <w:textDirection w:val="lrTb"/>
          <w:docGrid w:type="default" w:linePitch="360" w:charSpace="4096"/>
        </w:sect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A new dyslexia pathway is agreed, and three new registered dyslexia support coaches and assessors have joined the SSG. Work will continue to take place through currentYear to refine the pathway and develop an innovative screening process for doctors in training. The current screening tools have limitations, and although adapted for currentYearSlash this will be reviewed and adapted again as necessary this year.</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Normaltextrun"/>
          <w:rFonts w:cs="Calibri" w:ascii="Calibri" w:hAnsi="Calibri"/>
          <w:b/>
          <w:bCs/>
          <w:sz w:val="20"/>
          <w:szCs w:val="20"/>
          <w:u w:val="single"/>
          <w:shd w:fill="auto" w:val="clear"/>
        </w:rPr>
        <w:t xml:space="preserve">Exam support and dyslexia  </w:t>
      </w:r>
    </w:p>
    <w:p>
      <w:pPr>
        <w:pStyle w:val="Paragraph"/>
        <w:spacing w:beforeAutospacing="0" w:before="0" w:afterAutospacing="0" w:after="0"/>
        <w:textAlignment w:val="baseline"/>
        <w:rPr>
          <w:rFonts w:ascii="Segoe UI" w:hAnsi="Segoe UI" w:cs="Segoe UI"/>
          <w:sz w:val="18"/>
          <w:szCs w:val="18"/>
          <w:shd w:fill="auto" w:val="clear"/>
        </w:rPr>
      </w:pPr>
      <w:r>
        <w:rPr>
          <w:rFonts w:cs="Segoe UI" w:ascii="Segoe UI" w:hAnsi="Segoe UI"/>
          <w:sz w:val="18"/>
          <w:szCs w:val="18"/>
          <w:shd w:fill="auto" w:val="clear"/>
        </w:rPr>
      </w:r>
    </w:p>
    <w:p>
      <w:pPr>
        <w:pStyle w:val="Normal"/>
        <w:rPr>
          <w:shd w:fill="auto" w:val="clear"/>
        </w:rPr>
      </w:pPr>
      <w:r>
        <w:rPr>
          <w:b/>
          <w:bCs/>
          <w:sz w:val="20"/>
          <w:szCs w:val="20"/>
          <w:shd w:fill="auto" w:val="clear"/>
        </w:rPr>
        <w:t>Table 6 – breakdown of Exam referrals currentYearSlash</w:t>
      </w:r>
    </w:p>
    <w:tbl>
      <w:tblPr>
        <w:tblW w:w="1234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94"/>
        <w:gridCol w:w="919"/>
        <w:gridCol w:w="823"/>
        <w:gridCol w:w="1297"/>
        <w:gridCol w:w="1876"/>
        <w:gridCol w:w="1546"/>
        <w:gridCol w:w="518"/>
        <w:gridCol w:w="863"/>
        <w:gridCol w:w="1317"/>
        <w:gridCol w:w="1223"/>
        <w:gridCol w:w="662"/>
      </w:tblGrid>
      <w:tr>
        <w:trPr>
          <w:trHeight w:val="420" w:hRule="atLeast"/>
        </w:trPr>
        <w:tc>
          <w:tcPr>
            <w:tcW w:w="129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91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eastAsia="Times New Roman" w:cs="Calibri"/>
                <w:b/>
                <w:b/>
                <w:bCs/>
                <w:sz w:val="16"/>
                <w:szCs w:val="16"/>
                <w:shd w:fill="auto" w:val="clear"/>
                <w:lang w:eastAsia="en-GB"/>
              </w:rPr>
            </w:pPr>
            <w:r>
              <w:rPr>
                <w:rFonts w:eastAsia="Times New Roman" w:cs="Calibri"/>
                <w:b/>
                <w:bCs/>
                <w:sz w:val="16"/>
                <w:szCs w:val="16"/>
                <w:shd w:fill="auto" w:val="clear"/>
                <w:lang w:eastAsia="en-GB"/>
              </w:rPr>
              <w:t>Gender</w:t>
            </w:r>
          </w:p>
        </w:tc>
        <w:tc>
          <w:tcPr>
            <w:tcW w:w="823"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Grade</w:t>
            </w:r>
          </w:p>
        </w:tc>
        <w:tc>
          <w:tcPr>
            <w:tcW w:w="1297"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School</w:t>
            </w:r>
          </w:p>
        </w:tc>
        <w:tc>
          <w:tcPr>
            <w:tcW w:w="187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Add referrals</w:t>
            </w:r>
          </w:p>
        </w:tc>
        <w:tc>
          <w:tcPr>
            <w:tcW w:w="154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Country of Medical Training</w:t>
            </w:r>
          </w:p>
        </w:tc>
        <w:tc>
          <w:tcPr>
            <w:tcW w:w="51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Age</w:t>
            </w:r>
          </w:p>
        </w:tc>
        <w:tc>
          <w:tcPr>
            <w:tcW w:w="863"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Ethnicity</w:t>
            </w:r>
          </w:p>
        </w:tc>
        <w:tc>
          <w:tcPr>
            <w:tcW w:w="1317"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Sexual Orientation</w:t>
            </w:r>
          </w:p>
        </w:tc>
        <w:tc>
          <w:tcPr>
            <w:tcW w:w="1223"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Religion</w:t>
            </w:r>
          </w:p>
        </w:tc>
        <w:tc>
          <w:tcPr>
            <w:tcW w:w="66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Disability</w:t>
            </w:r>
          </w:p>
        </w:tc>
      </w:tr>
      <w:tr>
        <w:trPr>
          <w:trHeight w:val="318" w:hRule="atLeast"/>
        </w:trPr>
        <w:tc>
          <w:tcPr>
            <w:tcW w:w="12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91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r>
          </w:p>
        </w:tc>
        <w:tc>
          <w:tcPr>
            <w:tcW w:w="823"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297"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87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518"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863"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317"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223"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662"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318" w:hRule="atLeast"/>
        </w:trPr>
        <w:tc>
          <w:tcPr>
            <w:tcW w:w="12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919"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r>
          </w:p>
        </w:tc>
        <w:tc>
          <w:tcPr>
            <w:tcW w:w="823"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297"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876"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546"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518"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863"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317"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223"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662"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bl>
    <w:p>
      <w:pPr>
        <w:sectPr>
          <w:headerReference w:type="default" r:id="rId13"/>
          <w:footerReference w:type="default" r:id="rId14"/>
          <w:type w:val="nextPage"/>
          <w:pgSz w:orient="landscape" w:w="16838" w:h="11906"/>
          <w:pgMar w:left="1440" w:right="1440" w:header="708" w:top="1418" w:footer="708" w:bottom="1440" w:gutter="0"/>
          <w:pgNumType w:fmt="decimal"/>
          <w:formProt w:val="false"/>
          <w:textDirection w:val="lrTb"/>
          <w:docGrid w:type="default" w:linePitch="360" w:charSpace="4096"/>
        </w:sectPr>
      </w:pP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There were 49 trainees referred for exam support. Of these 20 were male and 29 were female. All had failed at least 2 exams prior to referral.</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Ages at referral ranged from 27 to 55 years. The peak ages for referral were 28-34 years reflecting common ages for taking exams, however there were 11 trainees over 40 years old across the specialties.</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11 referrals from secondary care were for Exit exams. </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By way of Country of Primary Medical Qualification, data was not complete but 21 of the 45 (47%) trainees for whom there was data trained outside the UK. Amongst GP trainees, 11 of the 14 (79%) of the trainees with data trained outside of the UK. </w:t>
      </w:r>
    </w:p>
    <w:p>
      <w:pPr>
        <w:pStyle w:val="Paragraph"/>
        <w:spacing w:beforeAutospacing="0" w:before="0" w:afterAutospacing="0" w:after="0"/>
        <w:textAlignment w:val="baseline"/>
        <w:rPr>
          <w:rFonts w:ascii="Calibri" w:hAnsi="Calibri" w:cs="Calibri"/>
          <w:sz w:val="20"/>
          <w:szCs w:val="20"/>
          <w:shd w:fill="auto" w:val="clear"/>
        </w:rPr>
      </w:pPr>
      <w:r>
        <w:rPr>
          <w:rFonts w:cs="Calibri" w:ascii="Calibri" w:hAnsi="Calibri"/>
          <w:sz w:val="20"/>
          <w:szCs w:val="20"/>
          <w:shd w:fill="auto" w:val="clear"/>
        </w:rPr>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By specialty, there were higher numbers of GP trainees and surgical specialties referred but these appropriately reflected higher number of trainees in these specialties. Amongst the larger specialties in Wessex, Anaesthetics had the lowest number of exam referrals. </w:t>
      </w:r>
    </w:p>
    <w:p>
      <w:pPr>
        <w:pStyle w:val="Paragraph"/>
        <w:spacing w:beforeAutospacing="0" w:before="0" w:afterAutospacing="0" w:after="0"/>
        <w:textAlignment w:val="baseline"/>
        <w:rPr>
          <w:rFonts w:ascii="Calibri" w:hAnsi="Calibri" w:cs="Calibri"/>
          <w:sz w:val="20"/>
          <w:szCs w:val="20"/>
          <w:shd w:fill="auto" w:val="clear"/>
        </w:rPr>
      </w:pPr>
      <w:r>
        <w:rPr>
          <w:rFonts w:cs="Calibri" w:ascii="Calibri" w:hAnsi="Calibri"/>
          <w:sz w:val="20"/>
          <w:szCs w:val="20"/>
          <w:shd w:fill="auto" w:val="clear"/>
        </w:rPr>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21 of these 49 (43%) of trainees referred for exam support were found to have dyslexia, highlighting the importance of dyslexia screening at an earlier stage - before they fail exams. A screening tool and instructions are available on the PSU website. </w:t>
      </w:r>
    </w:p>
    <w:p>
      <w:pPr>
        <w:pStyle w:val="Paragraph"/>
        <w:spacing w:beforeAutospacing="0" w:before="0" w:afterAutospacing="0" w:after="0"/>
        <w:textAlignment w:val="baseline"/>
        <w:rPr>
          <w:rFonts w:ascii="Segoe UI" w:hAnsi="Segoe UI" w:cs="Segoe UI"/>
          <w:sz w:val="18"/>
          <w:szCs w:val="18"/>
          <w:shd w:fill="auto" w:val="clear"/>
        </w:rPr>
      </w:pPr>
      <w:r>
        <w:rPr>
          <w:rFonts w:cs="Segoe UI" w:ascii="Segoe UI" w:hAnsi="Segoe UI"/>
          <w:sz w:val="18"/>
          <w:szCs w:val="18"/>
          <w:shd w:fill="auto" w:val="clear"/>
        </w:rPr>
      </w:r>
    </w:p>
    <w:p>
      <w:pPr>
        <w:pStyle w:val="Normal"/>
        <w:rPr>
          <w:b/>
          <w:b/>
          <w:bCs/>
          <w:sz w:val="20"/>
          <w:szCs w:val="20"/>
          <w:shd w:fill="auto" w:val="clear"/>
        </w:rPr>
      </w:pPr>
      <w:r>
        <w:rPr>
          <w:b/>
          <w:bCs/>
          <w:sz w:val="20"/>
          <w:szCs w:val="20"/>
          <w:shd w:fill="auto" w:val="clear"/>
        </w:rPr>
      </w:r>
    </w:p>
    <w:p>
      <w:pPr>
        <w:pStyle w:val="Normal"/>
        <w:jc w:val="center"/>
        <w:rPr>
          <w:shd w:fill="auto" w:val="clear"/>
        </w:rPr>
      </w:pPr>
      <w:r>
        <w:rPr>
          <w:rFonts w:eastAsia="Calibri" w:cs="Calibri"/>
          <w:b/>
          <w:bCs/>
          <w:sz w:val="24"/>
          <w:szCs w:val="24"/>
          <w:u w:val="single"/>
          <w:shd w:fill="auto" w:val="clear"/>
        </w:rPr>
        <w:t>Section 2 - Case Activity and financial management</w:t>
      </w:r>
    </w:p>
    <w:p>
      <w:pPr>
        <w:pStyle w:val="Normal"/>
        <w:spacing w:lineRule="auto" w:line="240" w:before="0" w:after="0"/>
        <w:jc w:val="both"/>
        <w:textAlignment w:val="baseline"/>
        <w:rPr>
          <w:shd w:fill="auto" w:val="clear"/>
        </w:rPr>
      </w:pPr>
      <w:r>
        <w:rPr>
          <w:rFonts w:eastAsia="Times New Roman" w:cs="Calibri"/>
          <w:b/>
          <w:bCs/>
          <w:sz w:val="20"/>
          <w:szCs w:val="20"/>
          <w:u w:val="single"/>
          <w:shd w:fill="auto" w:val="clear"/>
          <w:lang w:eastAsia="en-GB"/>
        </w:rPr>
        <w:t>Monthly open case management</w:t>
      </w:r>
      <w:r>
        <w:rPr>
          <w:rFonts w:eastAsia="Times New Roman" w:cs="Calibri"/>
          <w:sz w:val="20"/>
          <w:szCs w:val="20"/>
          <w:u w:val="single"/>
          <w:shd w:fill="auto" w:val="clear"/>
          <w:lang w:eastAsia="en-GB"/>
        </w:rPr>
        <w:t> </w:t>
      </w:r>
    </w:p>
    <w:p>
      <w:pPr>
        <w:pStyle w:val="Normal"/>
        <w:spacing w:lineRule="auto" w:line="240" w:before="0" w:after="0"/>
        <w:jc w:val="both"/>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 xml:space="preserve">Figure 8 demonstrates the monthly case load for the first half of the year, a slight drop from the last financial year.  The end of the year saw a decrease in referrals due to COVID-19 and the changes in workload, last minute rota changes and exam cancellations. </w:t>
      </w:r>
    </w:p>
    <w:p>
      <w:pPr>
        <w:pStyle w:val="Normal"/>
        <w:spacing w:lineRule="auto" w:line="240" w:before="0" w:after="0"/>
        <w:jc w:val="both"/>
        <w:textAlignment w:val="baseline"/>
        <w:rPr>
          <w:rFonts w:ascii="Calibri" w:hAnsi="Calibri" w:eastAsia="Times New Roman" w:cs="Calibri"/>
          <w:sz w:val="20"/>
          <w:szCs w:val="20"/>
          <w:shd w:fill="auto" w:val="clear"/>
          <w:lang w:eastAsia="en-GB"/>
        </w:rPr>
      </w:pPr>
      <w:r>
        <w:rPr>
          <w:rFonts w:eastAsia="Times New Roman" w:cs="Calibri"/>
          <w:sz w:val="20"/>
          <w:szCs w:val="20"/>
          <w:shd w:fill="auto" w:val="clear"/>
          <w:lang w:eastAsia="en-GB"/>
        </w:rPr>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Heightened awareness across the Specialty schools concerning differential attainment also may have contributed to the recent increases in referrals for exam support. Focus work on prevention in these areas has started, with an initial focus on courses to prepare trainees for exams. </w:t>
      </w:r>
    </w:p>
    <w:p>
      <w:pPr>
        <w:pStyle w:val="Normal"/>
        <w:spacing w:lineRule="auto" w:line="240" w:before="0" w:after="0"/>
        <w:jc w:val="both"/>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rPr>
          <w:rFonts w:ascii="Calibri" w:hAnsi="Calibri" w:eastAsia="Times New Roman" w:cs="Calibri"/>
          <w:sz w:val="20"/>
          <w:szCs w:val="20"/>
          <w:shd w:fill="auto" w:val="clear"/>
          <w:lang w:eastAsia="en-GB"/>
        </w:rPr>
      </w:pPr>
      <w:r>
        <w:rPr>
          <w:rStyle w:val="Normaltextrun"/>
          <w:rFonts w:cs="Calibri"/>
          <w:b/>
          <w:bCs/>
          <w:color w:val="000000"/>
          <w:sz w:val="20"/>
          <w:szCs w:val="20"/>
          <w:shd w:fill="auto" w:val="clear"/>
        </w:rPr>
        <w:t>Fig. 8 </w:t>
      </w:r>
      <w:r>
        <w:rPr>
          <w:rStyle w:val="Contextualspellingandgrammarerror"/>
          <w:rFonts w:cs="Calibri"/>
          <w:b/>
          <w:bCs/>
          <w:color w:val="000000"/>
          <w:sz w:val="20"/>
          <w:szCs w:val="20"/>
          <w:shd w:fill="auto" w:val="clear"/>
        </w:rPr>
        <w:t>- PSU</w:t>
      </w:r>
      <w:r>
        <w:rPr>
          <w:rStyle w:val="Normaltextrun"/>
          <w:rFonts w:cs="Calibri"/>
          <w:b/>
          <w:bCs/>
          <w:color w:val="000000"/>
          <w:sz w:val="20"/>
          <w:szCs w:val="20"/>
          <w:shd w:fill="auto" w:val="clear"/>
        </w:rPr>
        <w:t> open case load overall by month</w:t>
      </w:r>
      <w:r>
        <w:rPr>
          <w:rStyle w:val="Eop"/>
          <w:rFonts w:cs="Calibri"/>
          <w:color w:val="000000"/>
          <w:sz w:val="20"/>
          <w:szCs w:val="20"/>
          <w:shd w:fill="auto" w:val="clear"/>
        </w:rPr>
        <w:t> </w:t>
      </w:r>
    </w:p>
    <w:p>
      <w:pPr>
        <w:pStyle w:val="Normal"/>
        <w:rPr>
          <w:shd w:fill="auto" w:val="clear"/>
        </w:rPr>
      </w:pPr>
      <w:r>
        <w:rPr/>
        <w:drawing>
          <wp:inline distT="0" distB="0" distL="0" distR="0">
            <wp:extent cx="5745480" cy="299339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rPr>
          <w:rFonts w:ascii="Calibri" w:hAnsi="Calibri" w:eastAsia="Times New Roman" w:cs="Calibri"/>
          <w:sz w:val="20"/>
          <w:szCs w:val="20"/>
          <w:shd w:fill="auto" w:val="clear"/>
          <w:lang w:eastAsia="en-GB"/>
        </w:rPr>
      </w:pPr>
      <w:r>
        <w:rPr>
          <w:rStyle w:val="Normaltextrun"/>
          <w:rFonts w:cs="Calibri"/>
          <w:color w:val="000000"/>
          <w:sz w:val="20"/>
          <w:szCs w:val="20"/>
          <w:shd w:fill="auto" w:val="clear"/>
        </w:rPr>
        <w:t xml:space="preserve">Case manager (CM) and Specialist support group (SSG) demand for input varies through the year, this data has helped with our budget setting for the year (see figure 10). </w:t>
      </w:r>
    </w:p>
    <w:p>
      <w:pPr>
        <w:pStyle w:val="Normal"/>
        <w:rPr>
          <w:rFonts w:ascii="Calibri" w:hAnsi="Calibri" w:eastAsia="Times New Roman" w:cs="Calibri"/>
          <w:sz w:val="20"/>
          <w:szCs w:val="20"/>
          <w:shd w:fill="auto" w:val="clear"/>
          <w:lang w:eastAsia="en-GB"/>
        </w:rPr>
      </w:pPr>
      <w:r>
        <w:rPr>
          <w:rStyle w:val="Normaltextrun"/>
          <w:rFonts w:cs="Calibri"/>
          <w:color w:val="000000"/>
          <w:sz w:val="20"/>
          <w:szCs w:val="20"/>
          <w:shd w:fill="auto" w:val="clear"/>
        </w:rPr>
        <w:t>We updated the process to ensure invoices are signed off and crossed-checked before they are paid.  This helped the PSU to manage the budget actively and predict overspends and mitigate as needed. Understanding activity trends means we can set our run rate for the year and monitor performance. This has become essential with increasing budget constraints. This financial monitoring forms a significant part of our bimonthly PSU business review meetings. This also helps with planning new case manager induction as demand rises in the third and fourth quarters of the financial year. </w:t>
      </w:r>
      <w:r>
        <w:rPr>
          <w:rStyle w:val="Eop"/>
          <w:rFonts w:cs="Calibri"/>
          <w:color w:val="000000"/>
          <w:sz w:val="20"/>
          <w:szCs w:val="20"/>
          <w:shd w:fill="auto" w:val="clear"/>
        </w:rPr>
        <w:t> </w:t>
      </w:r>
    </w:p>
    <w:p>
      <w:pPr>
        <w:pStyle w:val="Normal"/>
        <w:rPr>
          <w:rFonts w:ascii="Calibri" w:hAnsi="Calibri" w:eastAsia="Times New Roman" w:cs="Calibri"/>
          <w:sz w:val="20"/>
          <w:szCs w:val="20"/>
          <w:shd w:fill="auto" w:val="clear"/>
          <w:lang w:eastAsia="en-GB"/>
        </w:rPr>
      </w:pPr>
      <w:r>
        <w:rPr>
          <w:rStyle w:val="Normaltextrun"/>
          <w:rFonts w:cs="Calibri"/>
          <w:b/>
          <w:bCs/>
          <w:color w:val="000000"/>
          <w:sz w:val="20"/>
          <w:szCs w:val="20"/>
          <w:shd w:fill="auto" w:val="clear"/>
        </w:rPr>
        <w:t>Fig. 9 </w:t>
      </w:r>
      <w:r>
        <w:rPr>
          <w:rStyle w:val="Contextualspellingandgrammarerror"/>
          <w:rFonts w:cs="Calibri"/>
          <w:b/>
          <w:bCs/>
          <w:color w:val="000000"/>
          <w:sz w:val="20"/>
          <w:szCs w:val="20"/>
          <w:shd w:fill="auto" w:val="clear"/>
        </w:rPr>
        <w:t>- Total</w:t>
      </w:r>
      <w:r>
        <w:rPr>
          <w:rStyle w:val="Normaltextrun"/>
          <w:rFonts w:cs="Calibri"/>
          <w:b/>
          <w:bCs/>
          <w:color w:val="000000"/>
          <w:sz w:val="20"/>
          <w:szCs w:val="20"/>
          <w:shd w:fill="auto" w:val="clear"/>
        </w:rPr>
        <w:t> Hours for PSU CMs and SSG Experts by month</w:t>
      </w:r>
      <w:r>
        <w:rPr>
          <w:rStyle w:val="Eop"/>
          <w:rFonts w:cs="Calibri"/>
          <w:color w:val="000000"/>
          <w:sz w:val="20"/>
          <w:szCs w:val="20"/>
          <w:shd w:fill="auto" w:val="clear"/>
        </w:rPr>
        <w:t> </w:t>
      </w:r>
    </w:p>
    <w:p>
      <w:pPr>
        <w:pStyle w:val="Normal"/>
        <w:spacing w:lineRule="auto" w:line="240" w:before="0" w:after="0"/>
        <w:rPr>
          <w:shd w:fill="auto" w:val="clear"/>
        </w:rPr>
      </w:pPr>
      <w:r>
        <w:rPr/>
        <w:drawing>
          <wp:inline distT="0" distB="0" distL="0" distR="0">
            <wp:extent cx="6089650" cy="1981200"/>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Normal"/>
        <w:spacing w:lineRule="auto" w:line="240" w:before="0" w:after="0"/>
        <w:rPr>
          <w:rFonts w:ascii="Times New Roman" w:hAnsi="Times New Roman" w:eastAsia="Times New Roman" w:cs="Times New Roman"/>
          <w:sz w:val="24"/>
          <w:szCs w:val="24"/>
          <w:shd w:fill="auto" w:val="clear"/>
          <w:lang w:eastAsia="en-GB"/>
        </w:rPr>
      </w:pPr>
      <w:r>
        <w:rPr>
          <w:rFonts w:eastAsia="Times New Roman" w:cs="Times New Roman" w:ascii="Times New Roman" w:hAnsi="Times New Roman"/>
          <w:sz w:val="24"/>
          <w:szCs w:val="24"/>
          <w:shd w:fill="auto" w:val="clear"/>
          <w:lang w:eastAsia="en-GB"/>
        </w:rPr>
      </w:r>
    </w:p>
    <w:p>
      <w:pPr>
        <w:pStyle w:val="Normal"/>
        <w:spacing w:lineRule="auto" w:line="240" w:before="0" w:after="0"/>
        <w:textAlignment w:val="baseline"/>
        <w:rPr>
          <w:shd w:fill="auto" w:val="clear"/>
        </w:rPr>
      </w:pPr>
      <w:r>
        <w:rPr>
          <w:rFonts w:eastAsia="Times New Roman" w:cs="Calibri"/>
          <w:sz w:val="20"/>
          <w:szCs w:val="20"/>
          <w:shd w:fill="auto" w:val="clear"/>
          <w:lang w:eastAsia="en-GB"/>
        </w:rPr>
        <w:t>Figure 10 describes the monthly budget demand for currentYearSlash that of course maps to figure 11. The currentYear-21 run-rate will be adjusted to match last year’s activity trends. </w:t>
      </w:r>
    </w:p>
    <w:p>
      <w:pPr>
        <w:pStyle w:val="Normal"/>
        <w:spacing w:lineRule="auto" w:line="240" w:before="0" w:after="0"/>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Fig. 10 - Monthly invoice trends for PSU CM and SSG Experts </w:t>
      </w:r>
      <w:r>
        <w:rPr>
          <w:rFonts w:eastAsia="Times New Roman" w:cs="Calibri"/>
          <w:sz w:val="20"/>
          <w:szCs w:val="20"/>
          <w:shd w:fill="auto" w:val="clear"/>
          <w:lang w:eastAsia="en-GB"/>
        </w:rPr>
        <w:t> </w:t>
      </w:r>
    </w:p>
    <w:p>
      <w:pPr>
        <w:pStyle w:val="Normal"/>
        <w:spacing w:lineRule="auto" w:line="240" w:before="0" w:after="0"/>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rPr>
          <w:shd w:fill="auto" w:val="clear"/>
        </w:rPr>
      </w:pPr>
      <w:r>
        <w:rPr/>
        <w:drawing>
          <wp:inline distT="0" distB="0" distL="0" distR="0">
            <wp:extent cx="6089650" cy="2336800"/>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ascii="Calibri" w:hAnsi="Calibri" w:eastAsia="Times New Roman" w:cs="Calibri"/>
          <w:sz w:val="20"/>
          <w:szCs w:val="20"/>
          <w:shd w:fill="auto" w:val="clear"/>
          <w:lang w:eastAsia="en-GB"/>
        </w:rPr>
      </w:pPr>
      <w:r>
        <w:rPr>
          <w:rStyle w:val="Normaltextrun"/>
          <w:rFonts w:cs="Calibri"/>
          <w:b/>
          <w:bCs/>
          <w:color w:val="000000"/>
          <w:sz w:val="20"/>
          <w:szCs w:val="20"/>
          <w:shd w:fill="auto" w:val="clear"/>
        </w:rPr>
        <w:t>Fig. 11 - Monthly breakdown of CM and SSG invoices currentYearSlash </w:t>
      </w:r>
      <w:r>
        <w:rPr>
          <w:rStyle w:val="Eop"/>
          <w:rFonts w:cs="Calibri"/>
          <w:color w:val="000000"/>
          <w:sz w:val="20"/>
          <w:szCs w:val="20"/>
          <w:shd w:fill="auto" w:val="clear"/>
        </w:rPr>
        <w:t> </w:t>
      </w:r>
    </w:p>
    <w:p>
      <w:pPr>
        <w:pStyle w:val="Normal"/>
        <w:spacing w:lineRule="auto" w:line="240" w:before="0" w:after="0"/>
        <w:rPr>
          <w:shd w:fill="auto" w:val="clear"/>
        </w:rPr>
      </w:pPr>
      <w:r>
        <w:rPr/>
        <w:drawing>
          <wp:inline distT="0" distB="0" distL="0" distR="0">
            <wp:extent cx="6305550" cy="3575050"/>
            <wp:effectExtent l="0" t="0" r="0" b="0"/>
            <wp:docPr id="1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rmal"/>
        <w:spacing w:lineRule="auto" w:line="240" w:before="0" w:after="0"/>
        <w:textAlignment w:val="baseline"/>
        <w:rPr>
          <w:rFonts w:ascii="Calibri" w:hAnsi="Calibri" w:eastAsia="Times New Roman" w:cs="Calibri"/>
          <w:b/>
          <w:b/>
          <w:bCs/>
          <w:sz w:val="20"/>
          <w:szCs w:val="20"/>
          <w:u w:val="single"/>
          <w:shd w:fill="auto" w:val="clear"/>
          <w:lang w:eastAsia="en-GB"/>
        </w:rPr>
      </w:pPr>
      <w:r>
        <w:rPr>
          <w:rFonts w:eastAsia="Times New Roman" w:cs="Calibri"/>
          <w:b/>
          <w:bCs/>
          <w:sz w:val="20"/>
          <w:szCs w:val="20"/>
          <w:u w:val="single"/>
          <w:shd w:fill="auto" w:val="clear"/>
          <w:lang w:eastAsia="en-GB"/>
        </w:rPr>
      </w:r>
    </w:p>
    <w:p>
      <w:pPr>
        <w:pStyle w:val="Normal"/>
        <w:spacing w:lineRule="auto" w:line="240" w:before="0" w:after="0"/>
        <w:textAlignment w:val="baseline"/>
        <w:rPr>
          <w:shd w:fill="auto" w:val="clear"/>
        </w:rPr>
      </w:pPr>
      <w:r>
        <w:rPr>
          <w:rFonts w:eastAsia="Times New Roman" w:cs="Calibri"/>
          <w:b/>
          <w:bCs/>
          <w:sz w:val="20"/>
          <w:szCs w:val="20"/>
          <w:u w:val="single"/>
          <w:shd w:fill="auto" w:val="clear"/>
          <w:lang w:eastAsia="en-GB"/>
        </w:rPr>
        <w:t>PSU Annual Budget and Expenditure</w:t>
      </w:r>
      <w:r>
        <w:rPr>
          <w:rFonts w:eastAsia="Times New Roman" w:cs="Calibri"/>
          <w:sz w:val="20"/>
          <w:szCs w:val="20"/>
          <w:u w:val="single"/>
          <w:shd w:fill="auto" w:val="clear"/>
          <w:lang w:eastAsia="en-GB"/>
        </w:rPr>
        <w:t> </w:t>
      </w:r>
    </w:p>
    <w:p>
      <w:pPr>
        <w:pStyle w:val="Normal"/>
        <w:spacing w:lineRule="auto" w:line="240" w:before="0" w:after="0"/>
        <w:textAlignment w:val="baseline"/>
        <w:rPr>
          <w:shd w:fill="auto" w:val="clear"/>
        </w:rPr>
      </w:pPr>
      <w:r>
        <w:rPr>
          <w:rFonts w:eastAsia="Times New Roman" w:cs="Calibri"/>
          <w:sz w:val="20"/>
          <w:szCs w:val="20"/>
          <w:shd w:fill="auto" w:val="clear"/>
          <w:lang w:eastAsia="en-GB"/>
        </w:rPr>
        <w:t> </w:t>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The PSU budget was kept at the same level set last year - see table 6.  The average cost per PSU trainee was £814 which is slightly lower than previous years. </w:t>
      </w:r>
    </w:p>
    <w:p>
      <w:pPr>
        <w:pStyle w:val="Normal"/>
        <w:spacing w:lineRule="auto" w:line="240" w:before="0" w:after="0"/>
        <w:textAlignment w:val="baseline"/>
        <w:rPr>
          <w:shd w:fill="auto" w:val="clear"/>
        </w:rPr>
      </w:pPr>
      <w:r>
        <w:rPr>
          <w:rFonts w:eastAsia="Times New Roman" w:cs="Calibri"/>
          <w:sz w:val="20"/>
          <w:szCs w:val="20"/>
          <w:shd w:fill="auto" w:val="clear"/>
          <w:lang w:eastAsia="en-GB"/>
        </w:rPr>
        <w:t> </w:t>
      </w:r>
    </w:p>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Table 7 - Summary of PSU total spending</w:t>
      </w:r>
    </w:p>
    <w:p>
      <w:pPr>
        <w:pStyle w:val="Normal"/>
        <w:spacing w:lineRule="auto" w:line="240" w:before="0" w:after="0"/>
        <w:textAlignment w:val="baseline"/>
        <w:rPr>
          <w:shd w:fill="auto" w:val="clear"/>
        </w:rPr>
      </w:pPr>
      <w:r>
        <w:rPr>
          <w:rFonts w:eastAsia="Times New Roman" w:cs="Calibri"/>
          <w:sz w:val="20"/>
          <w:szCs w:val="20"/>
          <w:shd w:fill="auto" w:val="clear"/>
          <w:lang w:eastAsia="en-GB"/>
        </w:rPr>
        <w:t> </w:t>
      </w:r>
    </w:p>
    <w:tbl>
      <w:tblPr>
        <w:tblW w:w="6900"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2294"/>
        <w:gridCol w:w="2295"/>
        <w:gridCol w:w="2311"/>
      </w:tblGrid>
      <w:tr>
        <w:trPr/>
        <w:tc>
          <w:tcPr>
            <w:tcW w:w="2294" w:type="dxa"/>
            <w:tcBorders>
              <w:top w:val="single" w:sz="6" w:space="0" w:color="000000"/>
              <w:left w:val="single" w:sz="6" w:space="0" w:color="000000"/>
              <w:bottom w:val="single" w:sz="6" w:space="0" w:color="000000"/>
              <w:right w:val="single" w:sz="6" w:space="0" w:color="000000"/>
            </w:tcBorders>
            <w:shd w:color="auto" w:fill="DAEEF3"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Budget Year</w:t>
            </w:r>
          </w:p>
        </w:tc>
        <w:tc>
          <w:tcPr>
            <w:tcW w:w="2295" w:type="dxa"/>
            <w:tcBorders>
              <w:top w:val="single" w:sz="6" w:space="0" w:color="000000"/>
              <w:bottom w:val="single" w:sz="6" w:space="0" w:color="000000"/>
              <w:right w:val="single" w:sz="6" w:space="0" w:color="000000"/>
            </w:tcBorders>
            <w:shd w:color="auto" w:fill="DAEEF3"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Budget set</w:t>
            </w:r>
          </w:p>
        </w:tc>
        <w:tc>
          <w:tcPr>
            <w:tcW w:w="2311" w:type="dxa"/>
            <w:tcBorders>
              <w:top w:val="single" w:sz="6" w:space="0" w:color="000000"/>
              <w:bottom w:val="single" w:sz="6" w:space="0" w:color="000000"/>
              <w:right w:val="single" w:sz="6" w:space="0" w:color="000000"/>
            </w:tcBorders>
            <w:shd w:color="auto" w:fill="DAEEF3"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Overspend</w:t>
            </w:r>
          </w:p>
        </w:tc>
      </w:tr>
      <w:tr>
        <w:trPr/>
        <w:tc>
          <w:tcPr>
            <w:tcW w:w="2294" w:type="dxa"/>
            <w:tcBorders>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2295"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2311"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r>
          </w:p>
        </w:tc>
      </w:tr>
      <w:tr>
        <w:trPr/>
        <w:tc>
          <w:tcPr>
            <w:tcW w:w="2294" w:type="dxa"/>
            <w:tcBorders>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2295"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2311"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r>
          </w:p>
        </w:tc>
      </w:tr>
      <w:tr>
        <w:trPr/>
        <w:tc>
          <w:tcPr>
            <w:tcW w:w="2294" w:type="dxa"/>
            <w:tcBorders>
              <w:left w:val="single" w:sz="6" w:space="0" w:color="000000"/>
              <w:bottom w:val="single" w:sz="4"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2295" w:type="dxa"/>
            <w:tcBorders>
              <w:bottom w:val="single" w:sz="4"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2311" w:type="dxa"/>
            <w:tcBorders>
              <w:bottom w:val="single" w:sz="4"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r>
          </w:p>
        </w:tc>
      </w:tr>
      <w:tr>
        <w:trPr/>
        <w:tc>
          <w:tcPr>
            <w:tcW w:w="22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TA</w:t>
            </w:r>
          </w:p>
        </w:tc>
        <w:tc>
          <w:tcPr>
            <w:tcW w:w="22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textAlignment w:val="baseline"/>
              <w:rPr/>
            </w:pPr>
            <w:r>
              <w:rPr>
                <w:rFonts w:eastAsia="Times New Roman" w:cs="Calibri"/>
                <w:b/>
                <w:bCs/>
                <w:sz w:val="20"/>
                <w:szCs w:val="20"/>
                <w:shd w:fill="auto" w:val="clear"/>
                <w:lang w:eastAsia="en-GB"/>
              </w:rPr>
            </w:r>
          </w:p>
        </w:tc>
        <w:tc>
          <w:tcPr>
            <w:tcW w:w="23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r>
          </w:p>
        </w:tc>
      </w:tr>
    </w:tbl>
    <w:p>
      <w:pPr>
        <w:pStyle w:val="Normal"/>
        <w:spacing w:lineRule="auto" w:line="240" w:before="0" w:after="0"/>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Table 8 – PSU expenditure </w:t>
      </w:r>
    </w:p>
    <w:p>
      <w:pPr>
        <w:pStyle w:val="Normal"/>
        <w:spacing w:lineRule="auto" w:line="240" w:before="0" w:after="0"/>
        <w:textAlignment w:val="baseline"/>
        <w:rPr>
          <w:rFonts w:ascii="Calibri" w:hAnsi="Calibri" w:eastAsia="Times New Roman" w:cs="Calibri"/>
          <w:b/>
          <w:b/>
          <w:bCs/>
          <w:sz w:val="20"/>
          <w:szCs w:val="20"/>
          <w:shd w:fill="auto" w:val="clear"/>
          <w:lang w:eastAsia="en-GB"/>
        </w:rPr>
      </w:pPr>
      <w:r>
        <w:rPr>
          <w:rFonts w:eastAsia="Times New Roman" w:cs="Calibri"/>
          <w:b/>
          <w:bCs/>
          <w:sz w:val="20"/>
          <w:szCs w:val="20"/>
          <w:shd w:fill="auto" w:val="clear"/>
          <w:lang w:eastAsia="en-GB"/>
        </w:rPr>
      </w:r>
    </w:p>
    <w:tbl>
      <w:tblPr>
        <w:tblW w:w="8370" w:type="dxa"/>
        <w:jc w:val="left"/>
        <w:tblInd w:w="105" w:type="dxa"/>
        <w:tblLayout w:type="fixed"/>
        <w:tblCellMar>
          <w:top w:w="0" w:type="dxa"/>
          <w:left w:w="7" w:type="dxa"/>
          <w:bottom w:w="0" w:type="dxa"/>
          <w:right w:w="7" w:type="dxa"/>
        </w:tblCellMar>
        <w:tblLook w:firstRow="1" w:noVBand="1" w:lastRow="0" w:firstColumn="1" w:lastColumn="0" w:noHBand="0" w:val="04a0"/>
      </w:tblPr>
      <w:tblGrid>
        <w:gridCol w:w="4275"/>
        <w:gridCol w:w="2220"/>
        <w:gridCol w:w="1875"/>
      </w:tblGrid>
      <w:tr>
        <w:trPr>
          <w:trHeight w:val="330" w:hRule="atLeast"/>
        </w:trPr>
        <w:tc>
          <w:tcPr>
            <w:tcW w:w="4275" w:type="dxa"/>
            <w:tcBorders>
              <w:top w:val="single" w:sz="6" w:space="0" w:color="000000"/>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SSG trainee cost</w:t>
            </w:r>
          </w:p>
        </w:tc>
        <w:tc>
          <w:tcPr>
            <w:tcW w:w="2220"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875" w:type="dxa"/>
            <w:vMerge w:val="restart"/>
            <w:tcBorders>
              <w:top w:val="single" w:sz="6" w:space="0" w:color="000000"/>
              <w:right w:val="single" w:sz="6" w:space="0" w:color="000000"/>
            </w:tcBorders>
            <w:shd w:color="auto" w:fill="auto"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w:t>
            </w:r>
          </w:p>
          <w:p>
            <w:pPr>
              <w:pStyle w:val="Normal"/>
              <w:widowControl w:val="false"/>
              <w:spacing w:lineRule="auto" w:line="240" w:before="0" w:after="0"/>
              <w:jc w:val="right"/>
              <w:textAlignment w:val="baseline"/>
              <w:rPr>
                <w:rFonts w:ascii="Calibri" w:hAnsi="Calibri" w:eastAsia="Times New Roman" w:cs="Calibri"/>
                <w:color w:val="000000"/>
                <w:kern w:val="0"/>
                <w:sz w:val="20"/>
                <w:szCs w:val="20"/>
                <w:shd w:fill="auto" w:val="clear"/>
                <w:lang w:val="en-GB" w:eastAsia="en-GB" w:bidi="ar-SA"/>
              </w:rPr>
            </w:pPr>
            <w:r>
              <w:rPr>
                <w:rFonts w:eastAsia="Times New Roman" w:cs="Calibri"/>
                <w:color w:val="000000"/>
                <w:kern w:val="0"/>
                <w:sz w:val="20"/>
                <w:szCs w:val="20"/>
                <w:shd w:fill="auto" w:val="clear"/>
                <w:lang w:val="en-GB" w:eastAsia="en-GB" w:bidi="ar-SA"/>
              </w:rPr>
              <w:t>TA</w:t>
            </w:r>
          </w:p>
        </w:tc>
      </w:tr>
      <w:tr>
        <w:trPr>
          <w:trHeight w:val="330" w:hRule="atLeast"/>
        </w:trPr>
        <w:tc>
          <w:tcPr>
            <w:tcW w:w="4275" w:type="dxa"/>
            <w:tcBorders>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SSG non-trainee cost***</w:t>
            </w:r>
          </w:p>
        </w:tc>
        <w:tc>
          <w:tcPr>
            <w:tcW w:w="2220" w:type="dxa"/>
            <w:tcBorders>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875" w:type="dxa"/>
            <w:vMerge w:val="continue"/>
            <w:tcBorders>
              <w:top w:val="single" w:sz="6" w:space="0" w:color="000000"/>
              <w:right w:val="single" w:sz="6"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shd w:fill="auto" w:val="clear"/>
                <w:lang w:eastAsia="en-GB"/>
              </w:rPr>
            </w:pPr>
            <w:r>
              <w:rPr>
                <w:rFonts w:eastAsia="Times New Roman" w:cs="Times New Roman" w:ascii="Times New Roman" w:hAnsi="Times New Roman"/>
                <w:sz w:val="24"/>
                <w:szCs w:val="24"/>
                <w:shd w:fill="auto" w:val="clear"/>
                <w:lang w:eastAsia="en-GB"/>
              </w:rPr>
            </w:r>
          </w:p>
        </w:tc>
      </w:tr>
      <w:tr>
        <w:trPr>
          <w:trHeight w:val="330" w:hRule="atLeast"/>
        </w:trPr>
        <w:tc>
          <w:tcPr>
            <w:tcW w:w="4275" w:type="dxa"/>
            <w:tcBorders>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CM trainee cost</w:t>
            </w:r>
          </w:p>
        </w:tc>
        <w:tc>
          <w:tcPr>
            <w:tcW w:w="2220" w:type="dxa"/>
            <w:tcBorders>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875" w:type="dxa"/>
            <w:vMerge w:val="restart"/>
            <w:tcBorders>
              <w:right w:val="single" w:sz="6" w:space="0" w:color="000000"/>
            </w:tcBorders>
            <w:shd w:color="auto" w:fill="auto" w:val="clear"/>
            <w:vAlign w:val="bottom"/>
          </w:tcPr>
          <w:p>
            <w:pPr>
              <w:pStyle w:val="Normal"/>
              <w:widowControl w:val="false"/>
              <w:spacing w:lineRule="auto" w:line="240" w:before="0" w:after="0"/>
              <w:jc w:val="right"/>
              <w:textAlignment w:val="baseline"/>
              <w:rPr>
                <w:rFonts w:ascii="Calibri" w:hAnsi="Calibri" w:eastAsia="Times New Roman" w:cs="Calibri"/>
                <w:color w:val="000000"/>
                <w:kern w:val="0"/>
                <w:sz w:val="20"/>
                <w:szCs w:val="20"/>
                <w:shd w:fill="auto" w:val="clear"/>
                <w:lang w:val="en-GB" w:eastAsia="en-GB" w:bidi="ar-SA"/>
              </w:rPr>
            </w:pPr>
            <w:r>
              <w:rPr>
                <w:rFonts w:eastAsia="Times New Roman" w:cs="Calibri"/>
                <w:color w:val="000000"/>
                <w:kern w:val="0"/>
                <w:sz w:val="20"/>
                <w:szCs w:val="20"/>
                <w:shd w:fill="auto" w:val="clear"/>
                <w:lang w:val="en-GB" w:eastAsia="en-GB" w:bidi="ar-SA"/>
              </w:rPr>
              <w:t>TB</w:t>
            </w:r>
          </w:p>
        </w:tc>
      </w:tr>
      <w:tr>
        <w:trPr>
          <w:trHeight w:val="330" w:hRule="atLeast"/>
        </w:trPr>
        <w:tc>
          <w:tcPr>
            <w:tcW w:w="4275" w:type="dxa"/>
            <w:tcBorders>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CM non-trainee cost***</w:t>
            </w:r>
          </w:p>
        </w:tc>
        <w:tc>
          <w:tcPr>
            <w:tcW w:w="2220" w:type="dxa"/>
            <w:tcBorders>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875" w:type="dxa"/>
            <w:vMerge w:val="continue"/>
            <w:tcBorders>
              <w:right w:val="single" w:sz="6"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shd w:fill="auto" w:val="clear"/>
                <w:lang w:eastAsia="en-GB"/>
              </w:rPr>
            </w:pPr>
            <w:r>
              <w:rPr>
                <w:rFonts w:eastAsia="Times New Roman" w:cs="Times New Roman" w:ascii="Times New Roman" w:hAnsi="Times New Roman"/>
                <w:sz w:val="24"/>
                <w:szCs w:val="24"/>
                <w:shd w:fill="auto" w:val="clear"/>
                <w:lang w:eastAsia="en-GB"/>
              </w:rPr>
            </w:r>
          </w:p>
        </w:tc>
      </w:tr>
      <w:tr>
        <w:trPr>
          <w:trHeight w:val="330" w:hRule="atLeast"/>
        </w:trPr>
        <w:tc>
          <w:tcPr>
            <w:tcW w:w="4275" w:type="dxa"/>
            <w:tcBorders>
              <w:top w:val="single" w:sz="6" w:space="0" w:color="000000"/>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SRTT Recharged (claimed back)</w:t>
            </w:r>
          </w:p>
        </w:tc>
        <w:tc>
          <w:tcPr>
            <w:tcW w:w="2220"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ind w:left="105" w:hanging="0"/>
              <w:jc w:val="right"/>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875"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w:t>
            </w:r>
          </w:p>
        </w:tc>
      </w:tr>
      <w:tr>
        <w:trPr>
          <w:trHeight w:val="330" w:hRule="atLeast"/>
        </w:trPr>
        <w:tc>
          <w:tcPr>
            <w:tcW w:w="4275"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b/>
                <w:bCs/>
                <w:color w:val="000000"/>
                <w:sz w:val="20"/>
                <w:szCs w:val="20"/>
                <w:shd w:fill="auto" w:val="clear"/>
                <w:lang w:eastAsia="en-GB"/>
              </w:rPr>
              <w:t>Total Cost</w:t>
            </w:r>
          </w:p>
        </w:tc>
        <w:tc>
          <w:tcPr>
            <w:tcW w:w="2220"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ascii="Times New Roman" w:hAnsi="Times New Roman" w:eastAsia="Times New Roman" w:cs="Times New Roman"/>
                <w:b/>
                <w:b/>
                <w:bCs/>
                <w:sz w:val="24"/>
                <w:szCs w:val="24"/>
                <w:shd w:fill="auto" w:val="clear"/>
                <w:lang w:eastAsia="en-GB"/>
              </w:rPr>
            </w:pPr>
            <w:r>
              <w:rPr>
                <w:rFonts w:eastAsia="Times New Roman" w:cs="Times New Roman" w:ascii="Times New Roman" w:hAnsi="Times New Roman"/>
                <w:b/>
                <w:bCs/>
                <w:sz w:val="24"/>
                <w:szCs w:val="24"/>
                <w:shd w:fill="auto" w:val="clear"/>
                <w:lang w:eastAsia="en-GB"/>
              </w:rPr>
            </w:r>
          </w:p>
        </w:tc>
        <w:tc>
          <w:tcPr>
            <w:tcW w:w="1875"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ascii="Calibri" w:hAnsi="Calibri" w:eastAsia="Times New Roman" w:cs="Calibri"/>
                <w:b/>
                <w:b/>
                <w:bCs/>
                <w:color w:val="000000"/>
                <w:kern w:val="0"/>
                <w:sz w:val="20"/>
                <w:szCs w:val="20"/>
                <w:shd w:fill="auto" w:val="clear"/>
                <w:lang w:val="en-GB" w:eastAsia="en-GB" w:bidi="ar-SA"/>
              </w:rPr>
            </w:pPr>
            <w:r>
              <w:rPr>
                <w:rFonts w:eastAsia="Times New Roman" w:cs="Calibri"/>
                <w:b/>
                <w:bCs/>
                <w:color w:val="000000"/>
                <w:kern w:val="0"/>
                <w:sz w:val="20"/>
                <w:szCs w:val="20"/>
                <w:shd w:fill="auto" w:val="clear"/>
                <w:lang w:val="en-GB" w:eastAsia="en-GB" w:bidi="ar-SA"/>
              </w:rPr>
              <w:t>TC</w:t>
            </w:r>
          </w:p>
        </w:tc>
      </w:tr>
    </w:tbl>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 </w:t>
      </w:r>
    </w:p>
    <w:p>
      <w:pPr>
        <w:pStyle w:val="Normal"/>
        <w:spacing w:lineRule="auto" w:line="240" w:before="0" w:after="0"/>
        <w:textAlignment w:val="baseline"/>
        <w:rPr>
          <w:shd w:fill="auto" w:val="clear"/>
        </w:rPr>
      </w:pPr>
      <w:r>
        <w:rPr>
          <w:rFonts w:eastAsia="Times New Roman" w:cs="Calibri"/>
          <w:color w:val="000000"/>
          <w:sz w:val="20"/>
          <w:szCs w:val="20"/>
          <w:shd w:fill="auto" w:val="clear"/>
          <w:lang w:eastAsia="en-GB"/>
        </w:rPr>
        <w:t>* SRTT Recharged </w:t>
      </w:r>
      <w:r>
        <w:rPr>
          <w:rFonts w:eastAsia="Times New Roman" w:cs="Calibri"/>
          <w:sz w:val="20"/>
          <w:szCs w:val="20"/>
          <w:shd w:fill="auto" w:val="clear"/>
          <w:lang w:eastAsia="en-GB"/>
        </w:rPr>
        <w:t>(Supported Return to Training) </w:t>
      </w:r>
    </w:p>
    <w:p>
      <w:pPr>
        <w:sectPr>
          <w:headerReference w:type="default" r:id="rId19"/>
          <w:footerReference w:type="default" r:id="rId20"/>
          <w:type w:val="nextPage"/>
          <w:pgSz w:w="11906" w:h="16838"/>
          <w:pgMar w:left="1440" w:right="1418" w:header="708" w:top="1440" w:footer="708" w:bottom="1440" w:gutter="0"/>
          <w:pgNumType w:fmt="decimal"/>
          <w:formProt w:val="false"/>
          <w:textDirection w:val="lrTb"/>
          <w:docGrid w:type="default" w:linePitch="360" w:charSpace="4096"/>
        </w:sectPr>
        <w:pStyle w:val="Normal"/>
        <w:spacing w:lineRule="auto" w:line="240" w:before="0" w:after="0"/>
        <w:textAlignment w:val="baseline"/>
        <w:rPr>
          <w:shd w:fill="auto" w:val="clear"/>
        </w:rPr>
      </w:pPr>
      <w:r>
        <w:rPr>
          <w:rFonts w:eastAsia="Times New Roman" w:cs="Calibri"/>
          <w:sz w:val="20"/>
          <w:szCs w:val="20"/>
          <w:shd w:fill="auto" w:val="clear"/>
          <w:lang w:eastAsia="en-GB"/>
        </w:rPr>
        <w:t>***Non-trainee costs include development days, peer supervision, appraisals, management assistance and other meetings </w:t>
      </w:r>
    </w:p>
    <w:p>
      <w:pPr>
        <w:pStyle w:val="Normal"/>
        <w:rPr>
          <w:shd w:fill="auto" w:val="clear"/>
        </w:rPr>
      </w:pPr>
      <w:r>
        <w:rPr>
          <w:rFonts w:eastAsia="Calibri" w:cs="Calibri"/>
          <w:b/>
          <w:bCs/>
          <w:sz w:val="20"/>
          <w:szCs w:val="20"/>
          <w:shd w:fill="auto" w:val="clear"/>
        </w:rPr>
        <w:t xml:space="preserve">Table 9 - Protected Characteristics of PSU Trainees appendix </w:t>
      </w:r>
    </w:p>
    <w:tbl>
      <w:tblPr>
        <w:tblW w:w="13434"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2099"/>
        <w:gridCol w:w="376"/>
        <w:gridCol w:w="41"/>
        <w:gridCol w:w="337"/>
        <w:gridCol w:w="110"/>
        <w:gridCol w:w="267"/>
        <w:gridCol w:w="183"/>
        <w:gridCol w:w="192"/>
        <w:gridCol w:w="254"/>
        <w:gridCol w:w="122"/>
        <w:gridCol w:w="328"/>
        <w:gridCol w:w="48"/>
        <w:gridCol w:w="379"/>
        <w:gridCol w:w="20"/>
        <w:gridCol w:w="356"/>
        <w:gridCol w:w="109"/>
        <w:gridCol w:w="284"/>
        <w:gridCol w:w="162"/>
        <w:gridCol w:w="214"/>
        <w:gridCol w:w="236"/>
        <w:gridCol w:w="140"/>
        <w:gridCol w:w="308"/>
        <w:gridCol w:w="68"/>
        <w:gridCol w:w="376"/>
        <w:gridCol w:w="4"/>
        <w:gridCol w:w="373"/>
        <w:gridCol w:w="79"/>
        <w:gridCol w:w="305"/>
        <w:gridCol w:w="147"/>
        <w:gridCol w:w="230"/>
        <w:gridCol w:w="219"/>
        <w:gridCol w:w="157"/>
        <w:gridCol w:w="291"/>
        <w:gridCol w:w="86"/>
        <w:gridCol w:w="364"/>
        <w:gridCol w:w="16"/>
        <w:gridCol w:w="375"/>
        <w:gridCol w:w="59"/>
        <w:gridCol w:w="323"/>
        <w:gridCol w:w="128"/>
        <w:gridCol w:w="249"/>
        <w:gridCol w:w="200"/>
        <w:gridCol w:w="184"/>
        <w:gridCol w:w="348"/>
        <w:gridCol w:w="35"/>
        <w:gridCol w:w="378"/>
        <w:gridCol w:w="120"/>
        <w:gridCol w:w="261"/>
        <w:gridCol w:w="196"/>
        <w:gridCol w:w="187"/>
        <w:gridCol w:w="263"/>
        <w:gridCol w:w="317"/>
        <w:gridCol w:w="133"/>
        <w:gridCol w:w="394"/>
      </w:tblGrid>
      <w:tr>
        <w:trPr>
          <w:trHeight w:val="255" w:hRule="atLeast"/>
        </w:trPr>
        <w:tc>
          <w:tcPr>
            <w:tcW w:w="2099" w:type="dxa"/>
            <w:tcBorders>
              <w:top w:val="single" w:sz="8" w:space="0" w:color="000000"/>
              <w:left w:val="single" w:sz="8" w:space="0" w:color="000000"/>
              <w:bottom w:val="single" w:sz="4" w:space="0" w:color="000000"/>
            </w:tcBorders>
            <w:shd w:color="000000" w:fill="FFFFFF" w:val="clear"/>
            <w:vAlign w:val="bottom"/>
          </w:tcPr>
          <w:p>
            <w:pPr>
              <w:pStyle w:val="Normal"/>
              <w:widowControl w:val="false"/>
              <w:spacing w:lineRule="auto" w:line="240" w:before="0" w:after="0"/>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Specialty</w:t>
            </w:r>
          </w:p>
        </w:tc>
        <w:tc>
          <w:tcPr>
            <w:tcW w:w="754" w:type="dxa"/>
            <w:gridSpan w:val="3"/>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Gender</w:t>
            </w:r>
          </w:p>
        </w:tc>
        <w:tc>
          <w:tcPr>
            <w:tcW w:w="752" w:type="dxa"/>
            <w:gridSpan w:val="4"/>
            <w:tcBorders>
              <w:top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Trained</w:t>
            </w:r>
          </w:p>
        </w:tc>
        <w:tc>
          <w:tcPr>
            <w:tcW w:w="1507" w:type="dxa"/>
            <w:gridSpan w:val="7"/>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Age</w:t>
            </w:r>
          </w:p>
        </w:tc>
        <w:tc>
          <w:tcPr>
            <w:tcW w:w="1897" w:type="dxa"/>
            <w:gridSpan w:val="9"/>
            <w:tcBorders>
              <w:top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Ethnicity</w:t>
            </w:r>
          </w:p>
        </w:tc>
        <w:tc>
          <w:tcPr>
            <w:tcW w:w="3405" w:type="dxa"/>
            <w:gridSpan w:val="17"/>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Religion</w:t>
            </w:r>
          </w:p>
        </w:tc>
        <w:tc>
          <w:tcPr>
            <w:tcW w:w="767" w:type="dxa"/>
            <w:gridSpan w:val="4"/>
            <w:tcBorders>
              <w:top w:val="single" w:sz="8" w:space="0" w:color="000000"/>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Disability</w:t>
            </w:r>
          </w:p>
        </w:tc>
        <w:tc>
          <w:tcPr>
            <w:tcW w:w="1142" w:type="dxa"/>
            <w:gridSpan w:val="5"/>
            <w:tcBorders>
              <w:top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Sexual Orientation</w:t>
            </w:r>
          </w:p>
        </w:tc>
        <w:tc>
          <w:tcPr>
            <w:tcW w:w="1107" w:type="dxa"/>
            <w:gridSpan w:val="4"/>
            <w:tcBorders>
              <w:top w:val="single" w:sz="8" w:space="0" w:color="000000"/>
              <w:left w:val="single" w:sz="8" w:space="0" w:color="000000"/>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Marital status</w:t>
            </w:r>
          </w:p>
        </w:tc>
      </w:tr>
      <w:tr>
        <w:trPr>
          <w:trHeight w:val="1360" w:hRule="atLeast"/>
        </w:trPr>
        <w:tc>
          <w:tcPr>
            <w:tcW w:w="2099" w:type="dxa"/>
            <w:tcBorders>
              <w:left w:val="single" w:sz="8" w:space="0" w:color="000000"/>
              <w:bottom w:val="single" w:sz="8" w:space="0" w:color="000000"/>
            </w:tcBorders>
            <w:shd w:color="000000" w:fill="FFFFFF" w:val="clear"/>
            <w:textDirection w:val="btL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Male</w:t>
            </w:r>
          </w:p>
        </w:tc>
        <w:tc>
          <w:tcPr>
            <w:tcW w:w="378"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Female</w:t>
            </w:r>
          </w:p>
        </w:tc>
        <w:tc>
          <w:tcPr>
            <w:tcW w:w="377"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UK</w:t>
            </w:r>
          </w:p>
        </w:tc>
        <w:tc>
          <w:tcPr>
            <w:tcW w:w="375" w:type="dxa"/>
            <w:gridSpan w:val="2"/>
            <w:tcBorders>
              <w:bottom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Non-UK</w:t>
            </w:r>
          </w:p>
        </w:tc>
        <w:tc>
          <w:tcPr>
            <w:tcW w:w="376"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23-29</w:t>
            </w:r>
          </w:p>
        </w:tc>
        <w:tc>
          <w:tcPr>
            <w:tcW w:w="376"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30-35</w:t>
            </w:r>
          </w:p>
        </w:tc>
        <w:tc>
          <w:tcPr>
            <w:tcW w:w="379" w:type="dxa"/>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36-40</w:t>
            </w:r>
          </w:p>
        </w:tc>
        <w:tc>
          <w:tcPr>
            <w:tcW w:w="376"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&gt;40</w:t>
            </w:r>
          </w:p>
        </w:tc>
        <w:tc>
          <w:tcPr>
            <w:tcW w:w="393"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B</w:t>
            </w:r>
          </w:p>
        </w:tc>
        <w:tc>
          <w:tcPr>
            <w:tcW w:w="376"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O</w:t>
            </w:r>
          </w:p>
        </w:tc>
        <w:tc>
          <w:tcPr>
            <w:tcW w:w="376"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Asian</w:t>
            </w:r>
          </w:p>
        </w:tc>
        <w:tc>
          <w:tcPr>
            <w:tcW w:w="376"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African</w:t>
            </w:r>
          </w:p>
        </w:tc>
        <w:tc>
          <w:tcPr>
            <w:tcW w:w="376" w:type="dxa"/>
            <w:tcBorders>
              <w:bottom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377"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Christian</w:t>
            </w:r>
          </w:p>
        </w:tc>
        <w:tc>
          <w:tcPr>
            <w:tcW w:w="384"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Islam</w:t>
            </w:r>
          </w:p>
        </w:tc>
        <w:tc>
          <w:tcPr>
            <w:tcW w:w="377"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Hindu</w:t>
            </w:r>
          </w:p>
        </w:tc>
        <w:tc>
          <w:tcPr>
            <w:tcW w:w="376"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Atheist</w:t>
            </w:r>
          </w:p>
        </w:tc>
        <w:tc>
          <w:tcPr>
            <w:tcW w:w="377"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Sikh</w:t>
            </w:r>
          </w:p>
        </w:tc>
        <w:tc>
          <w:tcPr>
            <w:tcW w:w="380"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Judaism</w:t>
            </w:r>
          </w:p>
        </w:tc>
        <w:tc>
          <w:tcPr>
            <w:tcW w:w="375" w:type="dxa"/>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Buddhism</w:t>
            </w:r>
          </w:p>
        </w:tc>
        <w:tc>
          <w:tcPr>
            <w:tcW w:w="382"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377"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384"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Yes</w:t>
            </w:r>
          </w:p>
        </w:tc>
        <w:tc>
          <w:tcPr>
            <w:tcW w:w="383" w:type="dxa"/>
            <w:gridSpan w:val="2"/>
            <w:tcBorders>
              <w:bottom w:val="single" w:sz="8" w:space="0" w:color="000000"/>
              <w:right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No</w:t>
            </w:r>
          </w:p>
        </w:tc>
        <w:tc>
          <w:tcPr>
            <w:tcW w:w="378" w:type="dxa"/>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Heterosexual</w:t>
            </w:r>
          </w:p>
        </w:tc>
        <w:tc>
          <w:tcPr>
            <w:tcW w:w="381"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Lesbian</w:t>
            </w:r>
          </w:p>
        </w:tc>
        <w:tc>
          <w:tcPr>
            <w:tcW w:w="383" w:type="dxa"/>
            <w:gridSpan w:val="2"/>
            <w:tcBorders>
              <w:bottom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580" w:type="dxa"/>
            <w:gridSpan w:val="2"/>
            <w:tcBorders>
              <w:left w:val="single" w:sz="8" w:space="0" w:color="000000"/>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Single</w:t>
            </w:r>
          </w:p>
        </w:tc>
        <w:tc>
          <w:tcPr>
            <w:tcW w:w="527" w:type="dxa"/>
            <w:gridSpan w:val="2"/>
            <w:tcBorders>
              <w:bottom w:val="single" w:sz="8" w:space="0" w:color="000000"/>
              <w:right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Married</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Anaesthetics (4)</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kern w:val="0"/>
                <w:sz w:val="18"/>
                <w:szCs w:val="18"/>
                <w:shd w:fill="auto" w:val="clear"/>
                <w:lang w:val="en-GB" w:eastAsia="en-GB" w:bidi="ar-SA"/>
              </w:rPr>
            </w:pPr>
            <w:r>
              <w:rPr>
                <w:rFonts w:eastAsia="Times New Roman" w:cs="Calibri"/>
                <w:color w:val="000000"/>
                <w:kern w:val="0"/>
                <w:sz w:val="18"/>
                <w:szCs w:val="18"/>
                <w:shd w:fill="auto" w:val="clear"/>
                <w:lang w:val="en-GB" w:eastAsia="en-GB" w:bidi="ar-SA"/>
              </w:rPr>
              <w:t>AA</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kern w:val="0"/>
                <w:sz w:val="18"/>
                <w:szCs w:val="18"/>
                <w:shd w:fill="auto" w:val="clear"/>
                <w:lang w:val="en-GB" w:eastAsia="en-GB" w:bidi="ar-SA"/>
              </w:rPr>
            </w:pPr>
            <w:r>
              <w:rPr>
                <w:rFonts w:eastAsia="Times New Roman" w:cs="Calibri"/>
                <w:color w:val="000000"/>
                <w:kern w:val="0"/>
                <w:sz w:val="18"/>
                <w:szCs w:val="18"/>
                <w:shd w:fill="auto" w:val="clear"/>
                <w:lang w:val="en-GB" w:eastAsia="en-GB" w:bidi="ar-SA"/>
              </w:rPr>
              <w:t>AB</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kern w:val="0"/>
                <w:sz w:val="18"/>
                <w:szCs w:val="18"/>
                <w:shd w:fill="auto" w:val="clear"/>
                <w:lang w:val="en-GB" w:eastAsia="en-GB" w:bidi="ar-SA"/>
              </w:rPr>
            </w:pPr>
            <w:r>
              <w:rPr>
                <w:rFonts w:eastAsia="Times New Roman" w:cs="Calibri"/>
                <w:color w:val="000000"/>
                <w:kern w:val="0"/>
                <w:sz w:val="18"/>
                <w:szCs w:val="18"/>
                <w:shd w:fill="auto" w:val="clear"/>
                <w:lang w:val="en-GB" w:eastAsia="en-GB" w:bidi="ar-SA"/>
              </w:rPr>
              <w:t>AC</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AD</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Dental (5)</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Dermatology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Endocrinology &amp; Diabetes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Foundation (11)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Gastroenterology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General Practice (31)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14</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17</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9</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16</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15</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Haematology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Histopathology (4)</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Emergency Medicine (10)</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Medicine (18)</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Neurology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Obs and Gynae (5)</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Occupational Health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Oncology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Ophthalmology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Paediatrics (6)</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Pathology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Pharmacy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Psychiatry (4)</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Public Health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Radiology (3)</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Sexual Health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3"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80"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099" w:type="dxa"/>
            <w:tcBorders>
              <w:left w:val="single" w:sz="8" w:space="0" w:color="000000"/>
              <w:bottom w:val="single" w:sz="8"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Rheumatology (1)</w:t>
            </w:r>
          </w:p>
        </w:tc>
        <w:tc>
          <w:tcPr>
            <w:tcW w:w="376"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3"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8"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2"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8"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80" w:type="dxa"/>
            <w:gridSpan w:val="2"/>
            <w:tcBorders>
              <w:left w:val="single" w:sz="8" w:space="0" w:color="000000"/>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27" w:type="dxa"/>
            <w:gridSpan w:val="2"/>
            <w:tcBorders>
              <w:bottom w:val="single" w:sz="8"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300" w:hRule="atLeast"/>
        </w:trPr>
        <w:tc>
          <w:tcPr>
            <w:tcW w:w="5667" w:type="dxa"/>
            <w:gridSpan w:val="18"/>
            <w:tcBorders/>
            <w:shd w:color="auto" w:fill="auto" w:val="clear"/>
            <w:vAlign w:val="bottom"/>
          </w:tcPr>
          <w:p>
            <w:pPr>
              <w:pStyle w:val="Normal"/>
              <w:widowControl w:val="false"/>
              <w:spacing w:before="0" w:after="200"/>
              <w:rPr>
                <w:rFonts w:cs="Calibri"/>
                <w:b/>
                <w:b/>
                <w:bCs/>
                <w:sz w:val="20"/>
                <w:szCs w:val="20"/>
                <w:shd w:fill="auto" w:val="clear"/>
              </w:rPr>
            </w:pPr>
            <w:r>
              <w:rPr>
                <w:rFonts w:eastAsia="Calibri" w:cs="Calibri"/>
                <w:b/>
                <w:bCs/>
                <w:sz w:val="20"/>
                <w:szCs w:val="20"/>
                <w:shd w:fill="auto" w:val="clear"/>
              </w:rPr>
              <w:t>Table 10 - Protected Characteristics of PSU IMG Trainees</w:t>
            </w:r>
          </w:p>
        </w:tc>
        <w:tc>
          <w:tcPr>
            <w:tcW w:w="450"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8"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8" w:type="dxa"/>
            <w:gridSpan w:val="3"/>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2"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2"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9"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8"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0"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0" w:type="dxa"/>
            <w:gridSpan w:val="3"/>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1"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9"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532"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533" w:type="dxa"/>
            <w:gridSpan w:val="3"/>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7"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0"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0"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394"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r>
      <w:tr>
        <w:trPr>
          <w:trHeight w:val="500" w:hRule="atLeast"/>
        </w:trPr>
        <w:tc>
          <w:tcPr>
            <w:tcW w:w="2516" w:type="dxa"/>
            <w:gridSpan w:val="3"/>
            <w:tcBorders>
              <w:top w:val="single" w:sz="8" w:space="0" w:color="000000"/>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Specialty</w:t>
            </w:r>
          </w:p>
        </w:tc>
        <w:tc>
          <w:tcPr>
            <w:tcW w:w="897" w:type="dxa"/>
            <w:gridSpan w:val="4"/>
            <w:tcBorders>
              <w:top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Gender</w:t>
            </w:r>
          </w:p>
        </w:tc>
        <w:tc>
          <w:tcPr>
            <w:tcW w:w="1808" w:type="dxa"/>
            <w:gridSpan w:val="9"/>
            <w:tcBorders>
              <w:top w:val="single" w:sz="8"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Age</w:t>
            </w:r>
          </w:p>
        </w:tc>
        <w:tc>
          <w:tcPr>
            <w:tcW w:w="2244" w:type="dxa"/>
            <w:gridSpan w:val="11"/>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Ethnicity</w:t>
            </w:r>
          </w:p>
        </w:tc>
        <w:tc>
          <w:tcPr>
            <w:tcW w:w="3149" w:type="dxa"/>
            <w:gridSpan w:val="15"/>
            <w:tcBorders>
              <w:top w:val="single" w:sz="8" w:space="0" w:color="000000"/>
              <w:bottom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Religion</w:t>
            </w:r>
          </w:p>
        </w:tc>
        <w:tc>
          <w:tcPr>
            <w:tcW w:w="1065" w:type="dxa"/>
            <w:gridSpan w:val="5"/>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Sexual Orientation</w:t>
            </w:r>
          </w:p>
        </w:tc>
        <w:tc>
          <w:tcPr>
            <w:tcW w:w="907" w:type="dxa"/>
            <w:gridSpan w:val="4"/>
            <w:tcBorders>
              <w:top w:val="single" w:sz="8" w:space="0" w:color="000000"/>
              <w:bottom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Marital status</w:t>
            </w:r>
          </w:p>
        </w:tc>
        <w:tc>
          <w:tcPr>
            <w:tcW w:w="844" w:type="dxa"/>
            <w:gridSpan w:val="3"/>
            <w:tcBorders>
              <w:top w:val="single" w:sz="8" w:space="0" w:color="000000"/>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Disability</w:t>
            </w:r>
          </w:p>
        </w:tc>
      </w:tr>
      <w:tr>
        <w:trPr>
          <w:trHeight w:val="1350" w:hRule="atLeast"/>
        </w:trPr>
        <w:tc>
          <w:tcPr>
            <w:tcW w:w="2516" w:type="dxa"/>
            <w:gridSpan w:val="3"/>
            <w:tcBorders>
              <w:left w:val="single" w:sz="8" w:space="0" w:color="000000"/>
              <w:bottom w:val="single" w:sz="8" w:space="0" w:color="000000"/>
              <w:right w:val="single" w:sz="8" w:space="0" w:color="000000"/>
            </w:tcBorders>
            <w:shd w:color="auto" w:fill="auto" w:val="clear"/>
            <w:textDirection w:val="btL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Male</w:t>
            </w:r>
          </w:p>
        </w:tc>
        <w:tc>
          <w:tcPr>
            <w:tcW w:w="450"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Female</w:t>
            </w:r>
          </w:p>
        </w:tc>
        <w:tc>
          <w:tcPr>
            <w:tcW w:w="446"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23-29</w:t>
            </w:r>
          </w:p>
        </w:tc>
        <w:tc>
          <w:tcPr>
            <w:tcW w:w="450"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30-35</w:t>
            </w:r>
          </w:p>
        </w:tc>
        <w:tc>
          <w:tcPr>
            <w:tcW w:w="447" w:type="dxa"/>
            <w:gridSpan w:val="3"/>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36-40</w:t>
            </w:r>
          </w:p>
        </w:tc>
        <w:tc>
          <w:tcPr>
            <w:tcW w:w="465" w:type="dxa"/>
            <w:gridSpan w:val="2"/>
            <w:tcBorders>
              <w:bottom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&gt;40</w:t>
            </w:r>
          </w:p>
        </w:tc>
        <w:tc>
          <w:tcPr>
            <w:tcW w:w="446"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B</w:t>
            </w:r>
          </w:p>
        </w:tc>
        <w:tc>
          <w:tcPr>
            <w:tcW w:w="450"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O</w:t>
            </w:r>
          </w:p>
        </w:tc>
        <w:tc>
          <w:tcPr>
            <w:tcW w:w="448"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Asian</w:t>
            </w:r>
          </w:p>
        </w:tc>
        <w:tc>
          <w:tcPr>
            <w:tcW w:w="448" w:type="dxa"/>
            <w:gridSpan w:val="3"/>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African</w:t>
            </w:r>
          </w:p>
        </w:tc>
        <w:tc>
          <w:tcPr>
            <w:tcW w:w="452"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452"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Christian</w:t>
            </w:r>
          </w:p>
        </w:tc>
        <w:tc>
          <w:tcPr>
            <w:tcW w:w="449"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Islam</w:t>
            </w:r>
          </w:p>
        </w:tc>
        <w:tc>
          <w:tcPr>
            <w:tcW w:w="448"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Hindu</w:t>
            </w:r>
          </w:p>
        </w:tc>
        <w:tc>
          <w:tcPr>
            <w:tcW w:w="450"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Atheist</w:t>
            </w:r>
          </w:p>
        </w:tc>
        <w:tc>
          <w:tcPr>
            <w:tcW w:w="450" w:type="dxa"/>
            <w:gridSpan w:val="3"/>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Buddhism</w:t>
            </w:r>
          </w:p>
        </w:tc>
        <w:tc>
          <w:tcPr>
            <w:tcW w:w="451"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449" w:type="dxa"/>
            <w:gridSpan w:val="2"/>
            <w:tcBorders>
              <w:bottom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532"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Heterosexual</w:t>
            </w:r>
          </w:p>
        </w:tc>
        <w:tc>
          <w:tcPr>
            <w:tcW w:w="533" w:type="dxa"/>
            <w:gridSpan w:val="3"/>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457"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Single</w:t>
            </w:r>
          </w:p>
        </w:tc>
        <w:tc>
          <w:tcPr>
            <w:tcW w:w="450" w:type="dxa"/>
            <w:gridSpan w:val="2"/>
            <w:tcBorders>
              <w:bottom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Married</w:t>
            </w:r>
          </w:p>
        </w:tc>
        <w:tc>
          <w:tcPr>
            <w:tcW w:w="450" w:type="dxa"/>
            <w:gridSpan w:val="2"/>
            <w:tcBorders>
              <w:left w:val="single" w:sz="8" w:space="0" w:color="000000"/>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Yes</w:t>
            </w:r>
          </w:p>
        </w:tc>
        <w:tc>
          <w:tcPr>
            <w:tcW w:w="394" w:type="dxa"/>
            <w:tcBorders>
              <w:bottom w:val="single" w:sz="8" w:space="0" w:color="000000"/>
              <w:right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No</w:t>
            </w:r>
          </w:p>
        </w:tc>
      </w:tr>
      <w:tr>
        <w:trPr>
          <w:trHeight w:val="290" w:hRule="atLeast"/>
        </w:trPr>
        <w:tc>
          <w:tcPr>
            <w:tcW w:w="2516" w:type="dxa"/>
            <w:gridSpan w:val="3"/>
            <w:tcBorders>
              <w:top w:val="single" w:sz="4" w:space="0" w:color="000000"/>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Anaesthetics (1)</w:t>
            </w:r>
          </w:p>
        </w:tc>
        <w:tc>
          <w:tcPr>
            <w:tcW w:w="447" w:type="dxa"/>
            <w:gridSpan w:val="2"/>
            <w:tcBorders>
              <w:top w:val="single" w:sz="4" w:space="0" w:color="000000"/>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5" w:type="dxa"/>
            <w:gridSpan w:val="2"/>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3"/>
            <w:tcBorders>
              <w:top w:val="single" w:sz="4"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3" w:type="dxa"/>
            <w:gridSpan w:val="3"/>
            <w:tcBorders>
              <w:top w:val="single" w:sz="4"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7"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4"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Dental (5)</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5"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7"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4"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Foundation (3)</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5"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7"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4"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General Practice (22)</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12</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465"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48"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8"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2"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7"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94"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Histopathology (2)</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65"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2"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7"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4"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Emergency Medicine (2)</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65"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7"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4"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Medicine (10)</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65"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48"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7"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4"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Obs and Gynae (1)</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5"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7"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4"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Occupational Health (1)</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5"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7"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4"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Oncology (1)</w:t>
            </w:r>
          </w:p>
        </w:tc>
        <w:tc>
          <w:tcPr>
            <w:tcW w:w="447" w:type="dxa"/>
            <w:gridSpan w:val="2"/>
            <w:tcBorders>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5" w:type="dxa"/>
            <w:gridSpan w:val="2"/>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3"/>
            <w:tcBorders>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3" w:type="dxa"/>
            <w:gridSpan w:val="3"/>
            <w:tcBorders>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7"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4"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Paediatrics (2)</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5" w:type="dxa"/>
            <w:gridSpan w:val="2"/>
            <w:tcBorders>
              <w:top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533"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7"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4"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Pathology (1)</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5" w:type="dxa"/>
            <w:gridSpan w:val="2"/>
            <w:tcBorders>
              <w:top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3"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7"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4"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Pharmacy (1)</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5"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3"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7"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4"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Psychiatry (2)</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5" w:type="dxa"/>
            <w:gridSpan w:val="2"/>
            <w:tcBorders>
              <w:top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533"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7"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4"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r>
      <w:tr>
        <w:trPr>
          <w:trHeight w:val="250" w:hRule="atLeast"/>
        </w:trPr>
        <w:tc>
          <w:tcPr>
            <w:tcW w:w="2516" w:type="dxa"/>
            <w:gridSpan w:val="3"/>
            <w:tcBorders>
              <w:top w:val="single" w:sz="4" w:space="0" w:color="000000"/>
              <w:left w:val="single" w:sz="8" w:space="0" w:color="000000"/>
              <w:bottom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Public Health (2)</w:t>
            </w:r>
          </w:p>
        </w:tc>
        <w:tc>
          <w:tcPr>
            <w:tcW w:w="447" w:type="dxa"/>
            <w:gridSpan w:val="2"/>
            <w:tcBorders>
              <w:top w:val="single" w:sz="4" w:space="0" w:color="000000"/>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bottom w:val="single" w:sz="8"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65" w:type="dxa"/>
            <w:gridSpan w:val="2"/>
            <w:tcBorders>
              <w:top w:val="single" w:sz="4" w:space="0" w:color="000000"/>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3"/>
            <w:tcBorders>
              <w:top w:val="single" w:sz="4"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bottom w:val="single" w:sz="8"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3" w:type="dxa"/>
            <w:gridSpan w:val="3"/>
            <w:tcBorders>
              <w:top w:val="single" w:sz="4" w:space="0" w:color="000000"/>
              <w:bottom w:val="single" w:sz="8"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7"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4" w:type="dxa"/>
            <w:tcBorders>
              <w:left w:val="single" w:sz="4"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bl>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shd w:fill="auto" w:val="clear"/>
        </w:rPr>
      </w:pPr>
      <w:r>
        <w:rPr>
          <w:rFonts w:cs="Calibri" w:cstheme="minorHAnsi"/>
          <w:b/>
          <w:sz w:val="20"/>
          <w:szCs w:val="20"/>
          <w:u w:val="single"/>
          <w:shd w:fill="auto" w:val="clear"/>
        </w:rPr>
        <w:t>Conclusion:</w:t>
      </w:r>
    </w:p>
    <w:p>
      <w:pPr>
        <w:pStyle w:val="Normal"/>
        <w:rPr>
          <w:shd w:fill="auto" w:val="clear"/>
        </w:rPr>
      </w:pPr>
      <w:r>
        <w:rPr>
          <w:rFonts w:cs="Calibri" w:cstheme="minorHAnsi"/>
          <w:bCs/>
          <w:sz w:val="20"/>
          <w:szCs w:val="20"/>
          <w:shd w:fill="auto" w:val="clear"/>
        </w:rPr>
        <w:t>The key points highlighted in this report are:</w:t>
      </w:r>
    </w:p>
    <w:p>
      <w:pPr>
        <w:pStyle w:val="ListParagraph"/>
        <w:numPr>
          <w:ilvl w:val="0"/>
          <w:numId w:val="5"/>
        </w:numPr>
        <w:rPr>
          <w:shd w:fill="auto" w:val="clear"/>
        </w:rPr>
      </w:pPr>
      <w:r>
        <w:rPr>
          <w:rFonts w:cs="Calibri" w:cstheme="minorHAnsi"/>
          <w:bCs/>
          <w:sz w:val="20"/>
          <w:szCs w:val="20"/>
          <w:shd w:fill="auto" w:val="clear"/>
        </w:rPr>
        <w:t>65% of all PSU referrals were for secondary care speciality trainees, 23% GP trainees and 8% foundation trainees</w:t>
      </w:r>
    </w:p>
    <w:p>
      <w:pPr>
        <w:pStyle w:val="ListParagraph"/>
        <w:numPr>
          <w:ilvl w:val="0"/>
          <w:numId w:val="5"/>
        </w:numPr>
        <w:rPr>
          <w:shd w:fill="auto" w:val="clear"/>
        </w:rPr>
      </w:pPr>
      <w:r>
        <w:rPr>
          <w:rFonts w:cs="Calibri" w:cstheme="minorHAnsi"/>
          <w:bCs/>
          <w:sz w:val="20"/>
          <w:szCs w:val="20"/>
          <w:shd w:fill="auto" w:val="clear"/>
        </w:rPr>
        <w:t xml:space="preserve">Although more referrals were for female trainees, this reflected that 65% of Wessex trainees are females </w:t>
      </w:r>
    </w:p>
    <w:p>
      <w:pPr>
        <w:pStyle w:val="ListParagraph"/>
        <w:numPr>
          <w:ilvl w:val="0"/>
          <w:numId w:val="5"/>
        </w:numPr>
        <w:rPr>
          <w:shd w:fill="auto" w:val="clear"/>
        </w:rPr>
      </w:pPr>
      <w:r>
        <w:rPr>
          <w:rFonts w:cs="Calibri" w:cstheme="minorHAnsi"/>
          <w:bCs/>
          <w:sz w:val="20"/>
          <w:szCs w:val="20"/>
          <w:shd w:fill="auto" w:val="clear"/>
        </w:rPr>
        <w:t>Many trainees were referred for multiple reasons but the main three reasons for referrals were exam failure (37%), Health (33%) and capability (24%)</w:t>
      </w:r>
    </w:p>
    <w:p>
      <w:pPr>
        <w:pStyle w:val="ListParagraph"/>
        <w:numPr>
          <w:ilvl w:val="0"/>
          <w:numId w:val="5"/>
        </w:numPr>
        <w:rPr>
          <w:shd w:fill="auto" w:val="clear"/>
        </w:rPr>
      </w:pPr>
      <w:r>
        <w:rPr>
          <w:rFonts w:cs="Calibri" w:cstheme="minorHAnsi"/>
          <w:bCs/>
          <w:sz w:val="20"/>
          <w:szCs w:val="20"/>
          <w:shd w:fill="auto" w:val="clear"/>
        </w:rPr>
        <w:t>Mental health issues were the direct reason for a referral in 28% of trainees</w:t>
      </w:r>
    </w:p>
    <w:p>
      <w:pPr>
        <w:pStyle w:val="ListParagraph"/>
        <w:numPr>
          <w:ilvl w:val="0"/>
          <w:numId w:val="5"/>
        </w:numPr>
        <w:rPr>
          <w:shd w:fill="auto" w:val="clear"/>
        </w:rPr>
      </w:pPr>
      <w:r>
        <w:rPr>
          <w:rFonts w:cs="Calibri" w:cstheme="minorHAnsi"/>
          <w:bCs/>
          <w:sz w:val="20"/>
          <w:szCs w:val="20"/>
          <w:shd w:fill="auto" w:val="clear"/>
        </w:rPr>
        <w:t>GP trainee referrals were 23% compared to 32% in 2018-2019 and speciality trainees’ referrals went up to 65% from 55%</w:t>
      </w:r>
    </w:p>
    <w:p>
      <w:pPr>
        <w:pStyle w:val="ListParagraph"/>
        <w:numPr>
          <w:ilvl w:val="0"/>
          <w:numId w:val="5"/>
        </w:numPr>
        <w:rPr>
          <w:shd w:fill="auto" w:val="clear"/>
        </w:rPr>
      </w:pPr>
      <w:r>
        <w:rPr>
          <w:rFonts w:cs="Calibri" w:cstheme="minorHAnsi"/>
          <w:bCs/>
          <w:sz w:val="20"/>
          <w:szCs w:val="20"/>
          <w:shd w:fill="auto" w:val="clear"/>
        </w:rPr>
        <w:t xml:space="preserve"> </w:t>
      </w:r>
      <w:r>
        <w:rPr>
          <w:rFonts w:cs="Calibri" w:cstheme="minorHAnsi"/>
          <w:bCs/>
          <w:sz w:val="20"/>
          <w:szCs w:val="20"/>
          <w:shd w:fill="auto" w:val="clear"/>
        </w:rPr>
        <w:t>Rolling analysis of case closures between 2013 and currentYear show satisfactory outcomes in 70% of all referrals (681)</w:t>
      </w:r>
    </w:p>
    <w:p>
      <w:pPr>
        <w:pStyle w:val="ListParagraph"/>
        <w:numPr>
          <w:ilvl w:val="0"/>
          <w:numId w:val="5"/>
        </w:numPr>
        <w:rPr>
          <w:shd w:fill="auto" w:val="clear"/>
        </w:rPr>
      </w:pPr>
      <w:r>
        <w:rPr>
          <w:rFonts w:cs="Calibri" w:cstheme="minorHAnsi"/>
          <w:bCs/>
          <w:sz w:val="20"/>
          <w:szCs w:val="20"/>
          <w:shd w:fill="auto" w:val="clear"/>
        </w:rPr>
        <w:t>43% of the trainees referred for exam support also needed dyslexia assessment and/or coaching. It is important that trainees are screened at an earlier stage</w:t>
      </w:r>
    </w:p>
    <w:p>
      <w:pPr>
        <w:pStyle w:val="ListParagraph"/>
        <w:numPr>
          <w:ilvl w:val="0"/>
          <w:numId w:val="5"/>
        </w:numPr>
        <w:rPr>
          <w:shd w:fill="auto" w:val="clear"/>
        </w:rPr>
      </w:pPr>
      <w:r>
        <w:rPr>
          <w:rFonts w:cs="Calibri" w:cstheme="minorHAnsi"/>
          <w:bCs/>
          <w:sz w:val="20"/>
          <w:szCs w:val="20"/>
          <w:shd w:fill="auto" w:val="clear"/>
        </w:rPr>
        <w:t>The average cost of a PSU referral remains relatively low at approximately £800 per trainee especially considering the overall cost of training and extensions and the 70% successful closure rate</w:t>
      </w:r>
    </w:p>
    <w:p>
      <w:pPr>
        <w:pStyle w:val="ListParagraph"/>
        <w:numPr>
          <w:ilvl w:val="0"/>
          <w:numId w:val="5"/>
        </w:numPr>
        <w:rPr>
          <w:shd w:fill="auto" w:val="clear"/>
        </w:rPr>
      </w:pPr>
      <w:r>
        <w:rPr>
          <w:rFonts w:cs="Calibri" w:cstheme="minorHAnsi"/>
          <w:bCs/>
          <w:sz w:val="20"/>
          <w:szCs w:val="20"/>
          <w:shd w:fill="auto" w:val="clear"/>
        </w:rPr>
        <w:t>This report demonstrates the complex nature of the work undertaken by the PSU and the high quality and cost-effective service provided to support trainees</w:t>
      </w:r>
    </w:p>
    <w:p>
      <w:pPr>
        <w:pStyle w:val="ListParagraph"/>
        <w:rPr>
          <w:shd w:fill="auto" w:val="clear"/>
        </w:rPr>
      </w:pPr>
      <w:r>
        <w:rPr>
          <w:rFonts w:cs="Calibri" w:cstheme="minorHAnsi"/>
          <w:bCs/>
          <w:sz w:val="20"/>
          <w:szCs w:val="20"/>
          <w:shd w:fill="auto" w:val="clear"/>
        </w:rPr>
        <w:t xml:space="preserve"> </w:t>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shd w:fill="auto" w:val="clear"/>
        </w:rPr>
      </w:pPr>
      <w:r>
        <w:rPr>
          <w:rFonts w:cs="Calibri" w:cstheme="minorHAnsi"/>
          <w:b/>
          <w:sz w:val="20"/>
          <w:szCs w:val="20"/>
          <w:shd w:fill="auto" w:val="clear"/>
        </w:rPr>
        <w:t>Fatima El-Bakri, Tonia Sales, Hilary Swales -  May currentYear</w:t>
      </w:r>
    </w:p>
    <w:p>
      <w:pPr>
        <w:pStyle w:val="Normal"/>
        <w:spacing w:before="0" w:after="200"/>
        <w:rPr>
          <w:shd w:fill="auto" w:val="clear"/>
        </w:rPr>
      </w:pPr>
      <w:r>
        <w:rPr/>
      </w:r>
    </w:p>
    <w:sectPr>
      <w:headerReference w:type="default" r:id="rId21"/>
      <w:footerReference w:type="default" r:id="rId22"/>
      <w:type w:val="nextPage"/>
      <w:pgSz w:orient="landscape" w:w="16838" w:h="11906"/>
      <w:pgMar w:left="426" w:right="1440" w:header="708" w:top="765"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07642067"/>
    </w:sdtPr>
    <w:sdtContent>
      <w:p>
        <w:pPr>
          <w:pStyle w:val="Cabecera"/>
          <w:jc w:val="right"/>
          <w:rPr/>
        </w:pPr>
        <w:r>
          <w:rPr/>
          <w:fldChar w:fldCharType="begin"/>
        </w:r>
        <w:r>
          <w:rPr/>
          <w:instrText> PAGE </w:instrText>
        </w:r>
        <w:r>
          <w:rPr/>
          <w:fldChar w:fldCharType="separate"/>
        </w:r>
        <w:r>
          <w:rPr/>
          <w:t>1</w:t>
        </w:r>
        <w:r>
          <w:rPr/>
          <w:fldChar w:fldCharType="end"/>
        </w:r>
      </w:p>
      <w:p>
        <w:pPr>
          <w:pStyle w:val="Cabecera"/>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135042789"/>
    </w:sdtPr>
    <w:sdtContent>
      <w:p>
        <w:pPr>
          <w:pStyle w:val="Cabecera"/>
          <w:jc w:val="right"/>
          <w:rPr/>
        </w:pPr>
        <w:r>
          <w:rPr/>
          <w:fldChar w:fldCharType="begin"/>
        </w:r>
        <w:r>
          <w:rPr/>
          <w:instrText> PAGE </w:instrText>
        </w:r>
        <w:r>
          <w:rPr/>
          <w:fldChar w:fldCharType="separate"/>
        </w:r>
        <w:r>
          <w:rPr/>
          <w:t>9</w:t>
        </w:r>
        <w:r>
          <w:rPr/>
          <w:fldChar w:fldCharType="end"/>
        </w:r>
      </w:p>
      <w:p>
        <w:pPr>
          <w:pStyle w:val="Cabecera"/>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38947570"/>
    </w:sdtPr>
    <w:sdtContent>
      <w:p>
        <w:pPr>
          <w:pStyle w:val="Cabecera"/>
          <w:jc w:val="right"/>
          <w:rPr/>
        </w:pPr>
        <w:r>
          <w:rPr/>
          <w:fldChar w:fldCharType="begin"/>
        </w:r>
        <w:r>
          <w:rPr/>
          <w:instrText> PAGE </w:instrText>
        </w:r>
        <w:r>
          <w:rPr/>
          <w:fldChar w:fldCharType="separate"/>
        </w:r>
        <w:r>
          <w:rPr/>
          <w:t>12</w:t>
        </w:r>
        <w:r>
          <w:rPr/>
          <w:fldChar w:fldCharType="end"/>
        </w:r>
      </w:p>
      <w:p>
        <w:pPr>
          <w:pStyle w:val="Cabecera"/>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40329619"/>
    </w:sdtPr>
    <w:sdtContent>
      <w:p>
        <w:pPr>
          <w:pStyle w:val="Cabecera"/>
          <w:jc w:val="right"/>
          <w:rPr/>
        </w:pPr>
        <w:r>
          <w:rPr/>
          <w:fldChar w:fldCharType="begin"/>
        </w:r>
        <w:r>
          <w:rPr/>
          <w:instrText> PAGE </w:instrText>
        </w:r>
        <w:r>
          <w:rPr/>
          <w:fldChar w:fldCharType="separate"/>
        </w:r>
        <w:r>
          <w:rPr/>
          <w:t>13</w:t>
        </w:r>
        <w:r>
          <w:rPr/>
          <w:fldChar w:fldCharType="end"/>
        </w:r>
      </w:p>
      <w:p>
        <w:pPr>
          <w:pStyle w:val="Cabecera"/>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2172" w:hanging="360"/>
      </w:pPr>
      <w:rPr>
        <w:rFonts w:ascii="Symbol" w:hAnsi="Symbol" w:cs="Symbol" w:hint="default"/>
      </w:rPr>
    </w:lvl>
    <w:lvl w:ilvl="1">
      <w:start w:val="1"/>
      <w:numFmt w:val="bullet"/>
      <w:lvlText w:val="o"/>
      <w:lvlJc w:val="left"/>
      <w:pPr>
        <w:tabs>
          <w:tab w:val="num" w:pos="0"/>
        </w:tabs>
        <w:ind w:left="2892" w:hanging="360"/>
      </w:pPr>
      <w:rPr>
        <w:rFonts w:ascii="Courier New" w:hAnsi="Courier New" w:cs="Courier New" w:hint="default"/>
      </w:rPr>
    </w:lvl>
    <w:lvl w:ilvl="2">
      <w:start w:val="1"/>
      <w:numFmt w:val="bullet"/>
      <w:lvlText w:val=""/>
      <w:lvlJc w:val="left"/>
      <w:pPr>
        <w:tabs>
          <w:tab w:val="num" w:pos="0"/>
        </w:tabs>
        <w:ind w:left="3612" w:hanging="360"/>
      </w:pPr>
      <w:rPr>
        <w:rFonts w:ascii="Wingdings" w:hAnsi="Wingdings" w:cs="Wingdings" w:hint="default"/>
      </w:rPr>
    </w:lvl>
    <w:lvl w:ilvl="3">
      <w:start w:val="1"/>
      <w:numFmt w:val="bullet"/>
      <w:lvlText w:val=""/>
      <w:lvlJc w:val="left"/>
      <w:pPr>
        <w:tabs>
          <w:tab w:val="num" w:pos="0"/>
        </w:tabs>
        <w:ind w:left="4332" w:hanging="360"/>
      </w:pPr>
      <w:rPr>
        <w:rFonts w:ascii="Symbol" w:hAnsi="Symbol" w:cs="Symbol" w:hint="default"/>
      </w:rPr>
    </w:lvl>
    <w:lvl w:ilvl="4">
      <w:start w:val="1"/>
      <w:numFmt w:val="bullet"/>
      <w:lvlText w:val="o"/>
      <w:lvlJc w:val="left"/>
      <w:pPr>
        <w:tabs>
          <w:tab w:val="num" w:pos="0"/>
        </w:tabs>
        <w:ind w:left="5052" w:hanging="360"/>
      </w:pPr>
      <w:rPr>
        <w:rFonts w:ascii="Courier New" w:hAnsi="Courier New" w:cs="Courier New" w:hint="default"/>
      </w:rPr>
    </w:lvl>
    <w:lvl w:ilvl="5">
      <w:start w:val="1"/>
      <w:numFmt w:val="bullet"/>
      <w:lvlText w:val=""/>
      <w:lvlJc w:val="left"/>
      <w:pPr>
        <w:tabs>
          <w:tab w:val="num" w:pos="0"/>
        </w:tabs>
        <w:ind w:left="5772" w:hanging="360"/>
      </w:pPr>
      <w:rPr>
        <w:rFonts w:ascii="Wingdings" w:hAnsi="Wingdings" w:cs="Wingdings" w:hint="default"/>
      </w:rPr>
    </w:lvl>
    <w:lvl w:ilvl="6">
      <w:start w:val="1"/>
      <w:numFmt w:val="bullet"/>
      <w:lvlText w:val=""/>
      <w:lvlJc w:val="left"/>
      <w:pPr>
        <w:tabs>
          <w:tab w:val="num" w:pos="0"/>
        </w:tabs>
        <w:ind w:left="6492" w:hanging="360"/>
      </w:pPr>
      <w:rPr>
        <w:rFonts w:ascii="Symbol" w:hAnsi="Symbol" w:cs="Symbol" w:hint="default"/>
      </w:rPr>
    </w:lvl>
    <w:lvl w:ilvl="7">
      <w:start w:val="1"/>
      <w:numFmt w:val="bullet"/>
      <w:lvlText w:val="o"/>
      <w:lvlJc w:val="left"/>
      <w:pPr>
        <w:tabs>
          <w:tab w:val="num" w:pos="0"/>
        </w:tabs>
        <w:ind w:left="7212" w:hanging="360"/>
      </w:pPr>
      <w:rPr>
        <w:rFonts w:ascii="Courier New" w:hAnsi="Courier New" w:cs="Courier New" w:hint="default"/>
      </w:rPr>
    </w:lvl>
    <w:lvl w:ilvl="8">
      <w:start w:val="1"/>
      <w:numFmt w:val="bullet"/>
      <w:lvlText w:val=""/>
      <w:lvlJc w:val="left"/>
      <w:pPr>
        <w:tabs>
          <w:tab w:val="num" w:pos="0"/>
        </w:tabs>
        <w:ind w:left="7932" w:hanging="360"/>
      </w:pPr>
      <w:rPr>
        <w:rFonts w:ascii="Wingdings" w:hAnsi="Wingdings" w:cs="Wingdings" w:hint="default"/>
      </w:rPr>
    </w:lvl>
  </w:abstractNum>
  <w:abstractNum w:abstractNumId="3">
    <w:lvl w:ilvl="0">
      <w:start w:val="1"/>
      <w:numFmt w:val="bullet"/>
      <w:lvlText w:val=""/>
      <w:lvlJc w:val="left"/>
      <w:pPr>
        <w:tabs>
          <w:tab w:val="num" w:pos="0"/>
        </w:tabs>
        <w:ind w:left="5606" w:hanging="360"/>
      </w:pPr>
      <w:rPr>
        <w:rFonts w:ascii="Symbol" w:hAnsi="Symbol" w:cs="Symbol" w:hint="default"/>
      </w:rPr>
    </w:lvl>
    <w:lvl w:ilvl="1">
      <w:start w:val="1"/>
      <w:numFmt w:val="bullet"/>
      <w:lvlText w:val="o"/>
      <w:lvlJc w:val="left"/>
      <w:pPr>
        <w:tabs>
          <w:tab w:val="num" w:pos="0"/>
        </w:tabs>
        <w:ind w:left="6326" w:hanging="360"/>
      </w:pPr>
      <w:rPr>
        <w:rFonts w:ascii="Courier New" w:hAnsi="Courier New" w:cs="Courier New" w:hint="default"/>
      </w:rPr>
    </w:lvl>
    <w:lvl w:ilvl="2">
      <w:start w:val="1"/>
      <w:numFmt w:val="bullet"/>
      <w:lvlText w:val=""/>
      <w:lvlJc w:val="left"/>
      <w:pPr>
        <w:tabs>
          <w:tab w:val="num" w:pos="0"/>
        </w:tabs>
        <w:ind w:left="7046" w:hanging="360"/>
      </w:pPr>
      <w:rPr>
        <w:rFonts w:ascii="Wingdings" w:hAnsi="Wingdings" w:cs="Wingdings" w:hint="default"/>
      </w:rPr>
    </w:lvl>
    <w:lvl w:ilvl="3">
      <w:start w:val="1"/>
      <w:numFmt w:val="bullet"/>
      <w:lvlText w:val=""/>
      <w:lvlJc w:val="left"/>
      <w:pPr>
        <w:tabs>
          <w:tab w:val="num" w:pos="0"/>
        </w:tabs>
        <w:ind w:left="7766" w:hanging="360"/>
      </w:pPr>
      <w:rPr>
        <w:rFonts w:ascii="Symbol" w:hAnsi="Symbol" w:cs="Symbol" w:hint="default"/>
      </w:rPr>
    </w:lvl>
    <w:lvl w:ilvl="4">
      <w:start w:val="1"/>
      <w:numFmt w:val="bullet"/>
      <w:lvlText w:val="o"/>
      <w:lvlJc w:val="left"/>
      <w:pPr>
        <w:tabs>
          <w:tab w:val="num" w:pos="0"/>
        </w:tabs>
        <w:ind w:left="8486" w:hanging="360"/>
      </w:pPr>
      <w:rPr>
        <w:rFonts w:ascii="Courier New" w:hAnsi="Courier New" w:cs="Courier New" w:hint="default"/>
      </w:rPr>
    </w:lvl>
    <w:lvl w:ilvl="5">
      <w:start w:val="1"/>
      <w:numFmt w:val="bullet"/>
      <w:lvlText w:val=""/>
      <w:lvlJc w:val="left"/>
      <w:pPr>
        <w:tabs>
          <w:tab w:val="num" w:pos="0"/>
        </w:tabs>
        <w:ind w:left="9206" w:hanging="360"/>
      </w:pPr>
      <w:rPr>
        <w:rFonts w:ascii="Wingdings" w:hAnsi="Wingdings" w:cs="Wingdings" w:hint="default"/>
      </w:rPr>
    </w:lvl>
    <w:lvl w:ilvl="6">
      <w:start w:val="1"/>
      <w:numFmt w:val="bullet"/>
      <w:lvlText w:val=""/>
      <w:lvlJc w:val="left"/>
      <w:pPr>
        <w:tabs>
          <w:tab w:val="num" w:pos="0"/>
        </w:tabs>
        <w:ind w:left="9926" w:hanging="360"/>
      </w:pPr>
      <w:rPr>
        <w:rFonts w:ascii="Symbol" w:hAnsi="Symbol" w:cs="Symbol" w:hint="default"/>
      </w:rPr>
    </w:lvl>
    <w:lvl w:ilvl="7">
      <w:start w:val="1"/>
      <w:numFmt w:val="bullet"/>
      <w:lvlText w:val="o"/>
      <w:lvlJc w:val="left"/>
      <w:pPr>
        <w:tabs>
          <w:tab w:val="num" w:pos="0"/>
        </w:tabs>
        <w:ind w:left="10646" w:hanging="360"/>
      </w:pPr>
      <w:rPr>
        <w:rFonts w:ascii="Courier New" w:hAnsi="Courier New" w:cs="Courier New" w:hint="default"/>
      </w:rPr>
    </w:lvl>
    <w:lvl w:ilvl="8">
      <w:start w:val="1"/>
      <w:numFmt w:val="bullet"/>
      <w:lvlText w:val=""/>
      <w:lvlJc w:val="left"/>
      <w:pPr>
        <w:tabs>
          <w:tab w:val="num" w:pos="0"/>
        </w:tabs>
        <w:ind w:left="11366"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308a"/>
    <w:pPr>
      <w:widowControl/>
      <w:suppressAutoHyphens w:val="true"/>
      <w:bidi w:val="0"/>
      <w:spacing w:lineRule="auto" w:line="276" w:before="0" w:after="200"/>
      <w:jc w:val="left"/>
    </w:pPr>
    <w:rPr>
      <w:rFonts w:ascii="Calibri" w:hAnsi="Calibri" w:eastAsia="ＭＳ 明朝" w:cs="Arial" w:eastAsiaTheme="minorEastAsia"/>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e308a"/>
    <w:rPr>
      <w:rFonts w:ascii="Tahoma" w:hAnsi="Tahoma" w:eastAsia="ＭＳ 明朝" w:cs="Tahoma" w:eastAsiaTheme="minorEastAsia"/>
      <w:sz w:val="16"/>
      <w:szCs w:val="16"/>
    </w:rPr>
  </w:style>
  <w:style w:type="character" w:styleId="Annotationreference">
    <w:name w:val="annotation reference"/>
    <w:basedOn w:val="DefaultParagraphFont"/>
    <w:uiPriority w:val="99"/>
    <w:semiHidden/>
    <w:unhideWhenUsed/>
    <w:qFormat/>
    <w:rsid w:val="00271d29"/>
    <w:rPr>
      <w:sz w:val="16"/>
      <w:szCs w:val="16"/>
    </w:rPr>
  </w:style>
  <w:style w:type="character" w:styleId="CommentTextChar" w:customStyle="1">
    <w:name w:val="Comment Text Char"/>
    <w:basedOn w:val="DefaultParagraphFont"/>
    <w:link w:val="CommentText"/>
    <w:uiPriority w:val="99"/>
    <w:semiHidden/>
    <w:qFormat/>
    <w:rsid w:val="00271d29"/>
    <w:rPr>
      <w:rFonts w:eastAsia="ＭＳ 明朝" w:eastAsiaTheme="minorEastAsia"/>
      <w:sz w:val="20"/>
      <w:szCs w:val="20"/>
    </w:rPr>
  </w:style>
  <w:style w:type="character" w:styleId="CommentSubjectChar" w:customStyle="1">
    <w:name w:val="Comment Subject Char"/>
    <w:basedOn w:val="CommentTextChar"/>
    <w:link w:val="CommentSubject"/>
    <w:uiPriority w:val="99"/>
    <w:semiHidden/>
    <w:qFormat/>
    <w:rsid w:val="00271d29"/>
    <w:rPr>
      <w:rFonts w:eastAsia="ＭＳ 明朝" w:eastAsiaTheme="minorEastAsia"/>
      <w:b/>
      <w:bCs/>
      <w:sz w:val="20"/>
      <w:szCs w:val="20"/>
    </w:rPr>
  </w:style>
  <w:style w:type="character" w:styleId="HeaderChar" w:customStyle="1">
    <w:name w:val="Header Char"/>
    <w:basedOn w:val="DefaultParagraphFont"/>
    <w:link w:val="Header"/>
    <w:uiPriority w:val="99"/>
    <w:qFormat/>
    <w:rsid w:val="00ce2ffa"/>
    <w:rPr>
      <w:rFonts w:eastAsia="ＭＳ 明朝" w:eastAsiaTheme="minorEastAsia"/>
    </w:rPr>
  </w:style>
  <w:style w:type="character" w:styleId="FooterChar" w:customStyle="1">
    <w:name w:val="Footer Char"/>
    <w:basedOn w:val="DefaultParagraphFont"/>
    <w:link w:val="Footer"/>
    <w:uiPriority w:val="99"/>
    <w:qFormat/>
    <w:rsid w:val="00ce2ffa"/>
    <w:rPr>
      <w:rFonts w:eastAsia="ＭＳ 明朝" w:eastAsiaTheme="minorEastAsia"/>
    </w:rPr>
  </w:style>
  <w:style w:type="character" w:styleId="Normaltextrun" w:customStyle="1">
    <w:name w:val="normaltextrun"/>
    <w:basedOn w:val="DefaultParagraphFont"/>
    <w:qFormat/>
    <w:rsid w:val="00893504"/>
    <w:rPr/>
  </w:style>
  <w:style w:type="character" w:styleId="Eop" w:customStyle="1">
    <w:name w:val="eop"/>
    <w:basedOn w:val="DefaultParagraphFont"/>
    <w:qFormat/>
    <w:rsid w:val="00893504"/>
    <w:rPr/>
  </w:style>
  <w:style w:type="character" w:styleId="Scxw65962492" w:customStyle="1">
    <w:name w:val="scxw65962492"/>
    <w:basedOn w:val="DefaultParagraphFont"/>
    <w:qFormat/>
    <w:rsid w:val="00893504"/>
    <w:rPr/>
  </w:style>
  <w:style w:type="character" w:styleId="EnlacedeInternet">
    <w:name w:val="Enlace de Internet"/>
    <w:basedOn w:val="DefaultParagraphFont"/>
    <w:uiPriority w:val="99"/>
    <w:semiHidden/>
    <w:unhideWhenUsed/>
    <w:rsid w:val="006f29fd"/>
    <w:rPr>
      <w:color w:val="0563C1"/>
      <w:u w:val="single"/>
    </w:rPr>
  </w:style>
  <w:style w:type="character" w:styleId="EnlacedeInternetvisitado">
    <w:name w:val="Enlace de Internet visitado"/>
    <w:basedOn w:val="DefaultParagraphFont"/>
    <w:uiPriority w:val="99"/>
    <w:semiHidden/>
    <w:unhideWhenUsed/>
    <w:rsid w:val="006f29fd"/>
    <w:rPr>
      <w:color w:val="954F72"/>
      <w:u w:val="single"/>
    </w:rPr>
  </w:style>
  <w:style w:type="character" w:styleId="Advancedproofingissue" w:customStyle="1">
    <w:name w:val="advancedproofingissue"/>
    <w:basedOn w:val="DefaultParagraphFont"/>
    <w:qFormat/>
    <w:rsid w:val="007c1768"/>
    <w:rPr/>
  </w:style>
  <w:style w:type="character" w:styleId="Spellingerror" w:customStyle="1">
    <w:name w:val="spellingerror"/>
    <w:basedOn w:val="DefaultParagraphFont"/>
    <w:qFormat/>
    <w:rsid w:val="007c1768"/>
    <w:rPr/>
  </w:style>
  <w:style w:type="character" w:styleId="Contextualspellingandgrammarerror" w:customStyle="1">
    <w:name w:val="contextualspellingandgrammarerror"/>
    <w:basedOn w:val="DefaultParagraphFont"/>
    <w:qFormat/>
    <w:rsid w:val="007c1768"/>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3e308a"/>
    <w:pPr>
      <w:spacing w:before="0" w:after="200"/>
      <w:ind w:left="720" w:hanging="0"/>
      <w:contextualSpacing/>
    </w:pPr>
    <w:rPr/>
  </w:style>
  <w:style w:type="paragraph" w:styleId="BalloonText">
    <w:name w:val="Balloon Text"/>
    <w:basedOn w:val="Normal"/>
    <w:link w:val="BalloonTextChar"/>
    <w:uiPriority w:val="99"/>
    <w:semiHidden/>
    <w:unhideWhenUsed/>
    <w:qFormat/>
    <w:rsid w:val="003e308a"/>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71d2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71d29"/>
    <w:pPr/>
    <w:rPr>
      <w:b/>
      <w:bCs/>
    </w:rPr>
  </w:style>
  <w:style w:type="paragraph" w:styleId="Cabeceraypie">
    <w:name w:val="Cabecera y pie"/>
    <w:basedOn w:val="Normal"/>
    <w:qFormat/>
    <w:pPr/>
    <w:rPr/>
  </w:style>
  <w:style w:type="paragraph" w:styleId="Cabecera">
    <w:name w:val="Header"/>
    <w:basedOn w:val="Normal"/>
    <w:link w:val="HeaderChar"/>
    <w:uiPriority w:val="99"/>
    <w:unhideWhenUsed/>
    <w:rsid w:val="00ce2ffa"/>
    <w:pPr>
      <w:tabs>
        <w:tab w:val="clear" w:pos="720"/>
        <w:tab w:val="center" w:pos="4513" w:leader="none"/>
        <w:tab w:val="right" w:pos="9026" w:leader="none"/>
      </w:tabs>
      <w:spacing w:lineRule="auto" w:line="240" w:before="0" w:after="0"/>
    </w:pPr>
    <w:rPr/>
  </w:style>
  <w:style w:type="paragraph" w:styleId="Piedepgina">
    <w:name w:val="Footer"/>
    <w:basedOn w:val="Normal"/>
    <w:link w:val="FooterChar"/>
    <w:uiPriority w:val="99"/>
    <w:unhideWhenUsed/>
    <w:rsid w:val="00ce2ffa"/>
    <w:pPr>
      <w:tabs>
        <w:tab w:val="clear" w:pos="720"/>
        <w:tab w:val="center" w:pos="4513" w:leader="none"/>
        <w:tab w:val="right" w:pos="9026" w:leader="none"/>
      </w:tabs>
      <w:spacing w:lineRule="auto" w:line="240" w:before="0" w:after="0"/>
    </w:pPr>
    <w:rPr/>
  </w:style>
  <w:style w:type="paragraph" w:styleId="Paragraph" w:customStyle="1">
    <w:name w:val="paragraph"/>
    <w:basedOn w:val="Normal"/>
    <w:qFormat/>
    <w:rsid w:val="00893504"/>
    <w:pPr>
      <w:spacing w:lineRule="auto" w:line="240" w:beforeAutospacing="1" w:afterAutospacing="1"/>
    </w:pPr>
    <w:rPr>
      <w:rFonts w:ascii="Times New Roman" w:hAnsi="Times New Roman" w:eastAsia="Times New Roman" w:cs="Times New Roman"/>
      <w:sz w:val="24"/>
      <w:szCs w:val="24"/>
      <w:lang w:eastAsia="en-GB"/>
    </w:rPr>
  </w:style>
  <w:style w:type="paragraph" w:styleId="Msonormal" w:customStyle="1">
    <w:name w:val="msonormal"/>
    <w:basedOn w:val="Normal"/>
    <w:qFormat/>
    <w:rsid w:val="006f29fd"/>
    <w:pPr>
      <w:spacing w:lineRule="auto" w:line="240" w:beforeAutospacing="1" w:afterAutospacing="1"/>
    </w:pPr>
    <w:rPr>
      <w:rFonts w:ascii="Times New Roman" w:hAnsi="Times New Roman" w:eastAsia="Times New Roman" w:cs="Times New Roman"/>
      <w:sz w:val="24"/>
      <w:szCs w:val="24"/>
      <w:lang w:eastAsia="en-GB"/>
    </w:rPr>
  </w:style>
  <w:style w:type="paragraph" w:styleId="Font5" w:customStyle="1">
    <w:name w:val="font5"/>
    <w:basedOn w:val="Normal"/>
    <w:qFormat/>
    <w:rsid w:val="006f29fd"/>
    <w:pPr>
      <w:spacing w:lineRule="auto" w:line="240" w:beforeAutospacing="1" w:afterAutospacing="1"/>
    </w:pPr>
    <w:rPr>
      <w:rFonts w:ascii="Tahoma" w:hAnsi="Tahoma" w:eastAsia="Times New Roman" w:cs="Tahoma"/>
      <w:color w:val="000000"/>
      <w:sz w:val="18"/>
      <w:szCs w:val="18"/>
      <w:lang w:eastAsia="en-GB"/>
    </w:rPr>
  </w:style>
  <w:style w:type="paragraph" w:styleId="Font6" w:customStyle="1">
    <w:name w:val="font6"/>
    <w:basedOn w:val="Normal"/>
    <w:qFormat/>
    <w:rsid w:val="006f29fd"/>
    <w:pPr>
      <w:spacing w:lineRule="auto" w:line="240" w:beforeAutospacing="1" w:afterAutospacing="1"/>
    </w:pPr>
    <w:rPr>
      <w:rFonts w:ascii="Tahoma" w:hAnsi="Tahoma" w:eastAsia="Times New Roman" w:cs="Tahoma"/>
      <w:b/>
      <w:bCs/>
      <w:color w:val="000000"/>
      <w:sz w:val="18"/>
      <w:szCs w:val="18"/>
      <w:lang w:eastAsia="en-GB"/>
    </w:rPr>
  </w:style>
  <w:style w:type="paragraph" w:styleId="Xl63" w:customStyle="1">
    <w:name w:val="xl63"/>
    <w:basedOn w:val="Normal"/>
    <w:qFormat/>
    <w:rsid w:val="006f29fd"/>
    <w:pPr>
      <w:pBdr>
        <w:top w:val="single" w:sz="4" w:space="0" w:color="000000"/>
        <w:left w:val="single" w:sz="8" w:space="0" w:color="000000"/>
        <w:bottom w:val="single" w:sz="8" w:space="0" w:color="000000"/>
        <w:right w:val="single" w:sz="4"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4" w:customStyle="1">
    <w:name w:val="xl64"/>
    <w:basedOn w:val="Normal"/>
    <w:qFormat/>
    <w:rsid w:val="006f29fd"/>
    <w:pPr>
      <w:pBdr>
        <w:top w:val="single" w:sz="4" w:space="0" w:color="000000"/>
        <w:left w:val="single" w:sz="4" w:space="0" w:color="000000"/>
        <w:bottom w:val="single" w:sz="8" w:space="0" w:color="000000"/>
        <w:right w:val="single" w:sz="4"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5" w:customStyle="1">
    <w:name w:val="xl65"/>
    <w:basedOn w:val="Normal"/>
    <w:qFormat/>
    <w:rsid w:val="006f29fd"/>
    <w:pPr>
      <w:pBdr>
        <w:top w:val="single" w:sz="4" w:space="0" w:color="000000"/>
        <w:left w:val="single" w:sz="4" w:space="0" w:color="000000"/>
        <w:bottom w:val="single" w:sz="8"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6" w:customStyle="1">
    <w:name w:val="xl66"/>
    <w:basedOn w:val="Normal"/>
    <w:qFormat/>
    <w:rsid w:val="006f29fd"/>
    <w:pPr>
      <w:pBdr>
        <w:top w:val="single" w:sz="4" w:space="0" w:color="000000"/>
        <w:left w:val="single" w:sz="4" w:space="0" w:color="000000"/>
        <w:bottom w:val="single" w:sz="8" w:space="0" w:color="000000"/>
        <w:right w:val="single" w:sz="8"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7" w:customStyle="1">
    <w:name w:val="xl67"/>
    <w:basedOn w:val="Normal"/>
    <w:qFormat/>
    <w:rsid w:val="006f29fd"/>
    <w:pPr>
      <w:pBdr>
        <w:top w:val="single" w:sz="4" w:space="0" w:color="000000"/>
        <w:bottom w:val="single" w:sz="8" w:space="0" w:color="000000"/>
        <w:right w:val="single" w:sz="4"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8" w:customStyle="1">
    <w:name w:val="xl68"/>
    <w:basedOn w:val="Normal"/>
    <w:qFormat/>
    <w:rsid w:val="006f29fd"/>
    <w:pPr>
      <w:pBdr>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69" w:customStyle="1">
    <w:name w:val="xl69"/>
    <w:basedOn w:val="Normal"/>
    <w:qFormat/>
    <w:rsid w:val="006f29fd"/>
    <w:pPr>
      <w:pBdr>
        <w:left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0" w:customStyle="1">
    <w:name w:val="xl70"/>
    <w:basedOn w:val="Normal"/>
    <w:qFormat/>
    <w:rsid w:val="006f29fd"/>
    <w:pPr>
      <w:pBdr>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1" w:customStyle="1">
    <w:name w:val="xl71"/>
    <w:basedOn w:val="Normal"/>
    <w:qFormat/>
    <w:rsid w:val="006f29fd"/>
    <w:pPr>
      <w:pBdr>
        <w:left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2" w:customStyle="1">
    <w:name w:val="xl72"/>
    <w:basedOn w:val="Normal"/>
    <w:qFormat/>
    <w:rsid w:val="006f29fd"/>
    <w:pPr>
      <w:pBdr>
        <w:left w:val="single" w:sz="4" w:space="0" w:color="000000"/>
        <w:bottom w:val="single" w:sz="4"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3" w:customStyle="1">
    <w:name w:val="xl73"/>
    <w:basedOn w:val="Normal"/>
    <w:qFormat/>
    <w:rsid w:val="006f29fd"/>
    <w:pPr>
      <w:pBdr>
        <w:top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4" w:customStyle="1">
    <w:name w:val="xl74"/>
    <w:basedOn w:val="Normal"/>
    <w:qFormat/>
    <w:rsid w:val="006f29fd"/>
    <w:pPr>
      <w:pBdr>
        <w:top w:val="single" w:sz="4" w:space="0" w:color="000000"/>
        <w:left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5" w:customStyle="1">
    <w:name w:val="xl75"/>
    <w:basedOn w:val="Normal"/>
    <w:qFormat/>
    <w:rsid w:val="006f29fd"/>
    <w:pPr>
      <w:pBdr>
        <w:top w:val="single" w:sz="4"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6" w:customStyle="1">
    <w:name w:val="xl76"/>
    <w:basedOn w:val="Normal"/>
    <w:qFormat/>
    <w:rsid w:val="006f29fd"/>
    <w:pPr>
      <w:pBdr>
        <w:top w:val="single" w:sz="4" w:space="0" w:color="000000"/>
        <w:left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7" w:customStyle="1">
    <w:name w:val="xl77"/>
    <w:basedOn w:val="Normal"/>
    <w:qFormat/>
    <w:rsid w:val="006f29fd"/>
    <w:pPr>
      <w:pBdr>
        <w:top w:val="single" w:sz="4" w:space="0" w:color="000000"/>
        <w:left w:val="single" w:sz="4" w:space="0" w:color="000000"/>
        <w:bottom w:val="single" w:sz="4"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8" w:customStyle="1">
    <w:name w:val="xl78"/>
    <w:basedOn w:val="Normal"/>
    <w:qFormat/>
    <w:rsid w:val="006f29fd"/>
    <w:pPr>
      <w:pBdr>
        <w:top w:val="single" w:sz="4" w:space="0" w:color="000000"/>
        <w:bottom w:val="single" w:sz="8"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9" w:customStyle="1">
    <w:name w:val="xl79"/>
    <w:basedOn w:val="Normal"/>
    <w:qFormat/>
    <w:rsid w:val="006f29fd"/>
    <w:pPr>
      <w:pBdr>
        <w:top w:val="single" w:sz="4" w:space="0" w:color="000000"/>
        <w:left w:val="single" w:sz="8" w:space="0" w:color="000000"/>
        <w:bottom w:val="single" w:sz="8"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0" w:customStyle="1">
    <w:name w:val="xl80"/>
    <w:basedOn w:val="Normal"/>
    <w:qFormat/>
    <w:rsid w:val="006f29fd"/>
    <w:pPr>
      <w:pBdr>
        <w:top w:val="single" w:sz="4" w:space="0" w:color="000000"/>
        <w:bottom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1" w:customStyle="1">
    <w:name w:val="xl81"/>
    <w:basedOn w:val="Normal"/>
    <w:qFormat/>
    <w:rsid w:val="006f29fd"/>
    <w:pPr>
      <w:pBdr>
        <w:top w:val="single" w:sz="4" w:space="0" w:color="000000"/>
        <w:left w:val="single" w:sz="4" w:space="0" w:color="000000"/>
        <w:bottom w:val="single" w:sz="8"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2" w:customStyle="1">
    <w:name w:val="xl82"/>
    <w:basedOn w:val="Normal"/>
    <w:qFormat/>
    <w:rsid w:val="006f29fd"/>
    <w:pPr>
      <w:pBdr>
        <w:top w:val="single" w:sz="4" w:space="0" w:color="000000"/>
        <w:left w:val="single" w:sz="4" w:space="0" w:color="000000"/>
        <w:bottom w:val="single" w:sz="8"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3" w:customStyle="1">
    <w:name w:val="xl83"/>
    <w:basedOn w:val="Normal"/>
    <w:qFormat/>
    <w:rsid w:val="006f29fd"/>
    <w:pPr>
      <w:pBdr>
        <w:top w:val="single" w:sz="8"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4" w:customStyle="1">
    <w:name w:val="xl84"/>
    <w:basedOn w:val="Normal"/>
    <w:qFormat/>
    <w:rsid w:val="006f29fd"/>
    <w:pPr>
      <w:pBdr>
        <w:top w:val="single" w:sz="8" w:space="0" w:color="000000"/>
        <w:left w:val="single" w:sz="8"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5" w:customStyle="1">
    <w:name w:val="xl85"/>
    <w:basedOn w:val="Normal"/>
    <w:qFormat/>
    <w:rsid w:val="006f29fd"/>
    <w:pPr>
      <w:pBdr>
        <w:top w:val="single" w:sz="8" w:space="0" w:color="000000"/>
        <w:left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6" w:customStyle="1">
    <w:name w:val="xl86"/>
    <w:basedOn w:val="Normal"/>
    <w:qFormat/>
    <w:rsid w:val="006f29fd"/>
    <w:pPr>
      <w:pBdr>
        <w:top w:val="single" w:sz="8" w:space="0" w:color="000000"/>
        <w:left w:val="single" w:sz="4" w:space="0" w:color="000000"/>
        <w:bottom w:val="single" w:sz="4"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7" w:customStyle="1">
    <w:name w:val="xl87"/>
    <w:basedOn w:val="Normal"/>
    <w:qFormat/>
    <w:rsid w:val="006f29fd"/>
    <w:pPr>
      <w:pBdr>
        <w:top w:val="single" w:sz="8" w:space="0" w:color="000000"/>
        <w:left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8" w:customStyle="1">
    <w:name w:val="xl88"/>
    <w:basedOn w:val="Normal"/>
    <w:qFormat/>
    <w:rsid w:val="006f29fd"/>
    <w:pPr>
      <w:pBdr>
        <w:top w:val="single" w:sz="8" w:space="0" w:color="000000"/>
        <w:left w:val="single" w:sz="4"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9" w:customStyle="1">
    <w:name w:val="xl89"/>
    <w:basedOn w:val="Normal"/>
    <w:qFormat/>
    <w:rsid w:val="006f29fd"/>
    <w:pPr>
      <w:pBdr>
        <w:top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90" w:customStyle="1">
    <w:name w:val="xl90"/>
    <w:basedOn w:val="Normal"/>
    <w:qFormat/>
    <w:rsid w:val="006f29fd"/>
    <w:pPr>
      <w:pBdr>
        <w:top w:val="single" w:sz="8" w:space="0" w:color="000000"/>
        <w:left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91" w:customStyle="1">
    <w:name w:val="xl91"/>
    <w:basedOn w:val="Normal"/>
    <w:qFormat/>
    <w:rsid w:val="006f29fd"/>
    <w:pPr>
      <w:pBdr>
        <w:top w:val="single" w:sz="8" w:space="0" w:color="000000"/>
        <w:left w:val="single" w:sz="4"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92" w:customStyle="1">
    <w:name w:val="xl92"/>
    <w:basedOn w:val="Normal"/>
    <w:qFormat/>
    <w:rsid w:val="006f29fd"/>
    <w:pPr>
      <w:pBdr>
        <w:top w:val="single" w:sz="4" w:space="0" w:color="000000"/>
        <w:left w:val="single" w:sz="8" w:space="0" w:color="000000"/>
        <w:bottom w:val="single" w:sz="8" w:space="0" w:color="000000"/>
        <w:right w:val="single" w:sz="4"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93" w:customStyle="1">
    <w:name w:val="xl93"/>
    <w:basedOn w:val="Normal"/>
    <w:qFormat/>
    <w:rsid w:val="006f29fd"/>
    <w:pPr>
      <w:pBdr>
        <w:top w:val="single" w:sz="4" w:space="0" w:color="000000"/>
        <w:left w:val="single" w:sz="4" w:space="0" w:color="000000"/>
        <w:bottom w:val="single" w:sz="8" w:space="0" w:color="000000"/>
        <w:right w:val="single" w:sz="8"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94" w:customStyle="1">
    <w:name w:val="xl94"/>
    <w:basedOn w:val="Normal"/>
    <w:qFormat/>
    <w:rsid w:val="006f29fd"/>
    <w:pPr>
      <w:pBdr>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5" w:customStyle="1">
    <w:name w:val="xl95"/>
    <w:basedOn w:val="Normal"/>
    <w:qFormat/>
    <w:rsid w:val="006f29fd"/>
    <w:pPr>
      <w:pBdr>
        <w:left w:val="single" w:sz="4" w:space="0" w:color="000000"/>
        <w:bottom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6" w:customStyle="1">
    <w:name w:val="xl96"/>
    <w:basedOn w:val="Normal"/>
    <w:qFormat/>
    <w:rsid w:val="006f29fd"/>
    <w:pPr>
      <w:pBdr>
        <w:top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7" w:customStyle="1">
    <w:name w:val="xl97"/>
    <w:basedOn w:val="Normal"/>
    <w:qFormat/>
    <w:rsid w:val="006f29fd"/>
    <w:pPr>
      <w:pBdr>
        <w:top w:val="single" w:sz="4" w:space="0" w:color="000000"/>
        <w:left w:val="single" w:sz="4" w:space="0" w:color="000000"/>
        <w:bottom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8" w:customStyle="1">
    <w:name w:val="xl98"/>
    <w:basedOn w:val="Normal"/>
    <w:qFormat/>
    <w:rsid w:val="006f29fd"/>
    <w:pPr>
      <w:pBdr>
        <w:top w:val="single" w:sz="4" w:space="0" w:color="000000"/>
        <w:bottom w:val="single" w:sz="8"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9" w:customStyle="1">
    <w:name w:val="xl99"/>
    <w:basedOn w:val="Normal"/>
    <w:qFormat/>
    <w:rsid w:val="006f29fd"/>
    <w:pPr>
      <w:pBdr>
        <w:top w:val="single" w:sz="4" w:space="0" w:color="000000"/>
        <w:left w:val="single" w:sz="4" w:space="0" w:color="000000"/>
        <w:bottom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0" w:customStyle="1">
    <w:name w:val="xl100"/>
    <w:basedOn w:val="Normal"/>
    <w:qFormat/>
    <w:rsid w:val="006f29fd"/>
    <w:pPr>
      <w:pBdr>
        <w:top w:val="single" w:sz="8" w:space="0" w:color="000000"/>
        <w:left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01" w:customStyle="1">
    <w:name w:val="xl101"/>
    <w:basedOn w:val="Normal"/>
    <w:qFormat/>
    <w:rsid w:val="006f29fd"/>
    <w:pPr>
      <w:pBdr>
        <w:top w:val="single" w:sz="4" w:space="0" w:color="000000"/>
        <w:left w:val="single" w:sz="4" w:space="0" w:color="000000"/>
        <w:bottom w:val="single" w:sz="8" w:space="0" w:color="000000"/>
        <w:right w:val="single" w:sz="4"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102" w:customStyle="1">
    <w:name w:val="xl102"/>
    <w:basedOn w:val="Normal"/>
    <w:qFormat/>
    <w:rsid w:val="006f29fd"/>
    <w:pPr>
      <w:pBdr>
        <w:left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3" w:customStyle="1">
    <w:name w:val="xl103"/>
    <w:basedOn w:val="Normal"/>
    <w:qFormat/>
    <w:rsid w:val="006f29fd"/>
    <w:pPr>
      <w:pBdr>
        <w:left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4" w:customStyle="1">
    <w:name w:val="xl104"/>
    <w:basedOn w:val="Normal"/>
    <w:qFormat/>
    <w:rsid w:val="006f29fd"/>
    <w:pPr>
      <w:pBdr>
        <w:left w:val="single" w:sz="4"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5" w:customStyle="1">
    <w:name w:val="xl105"/>
    <w:basedOn w:val="Normal"/>
    <w:qFormat/>
    <w:rsid w:val="006f29fd"/>
    <w:pPr>
      <w:pBdr>
        <w:top w:val="single" w:sz="4" w:space="0" w:color="000000"/>
        <w:left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6" w:customStyle="1">
    <w:name w:val="xl106"/>
    <w:basedOn w:val="Normal"/>
    <w:qFormat/>
    <w:rsid w:val="006f29fd"/>
    <w:pPr>
      <w:pBdr>
        <w:top w:val="single" w:sz="4" w:space="0" w:color="000000"/>
        <w:left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7" w:customStyle="1">
    <w:name w:val="xl107"/>
    <w:basedOn w:val="Normal"/>
    <w:qFormat/>
    <w:rsid w:val="006f29fd"/>
    <w:pPr>
      <w:pBdr>
        <w:top w:val="single" w:sz="4" w:space="0" w:color="000000"/>
        <w:left w:val="single" w:sz="4"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8" w:customStyle="1">
    <w:name w:val="xl108"/>
    <w:basedOn w:val="Normal"/>
    <w:qFormat/>
    <w:rsid w:val="006f29fd"/>
    <w:pPr>
      <w:pBdr>
        <w:top w:val="single" w:sz="4" w:space="0" w:color="000000"/>
        <w:left w:val="single" w:sz="8" w:space="0" w:color="000000"/>
        <w:bottom w:val="single" w:sz="8"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9" w:customStyle="1">
    <w:name w:val="xl109"/>
    <w:basedOn w:val="Normal"/>
    <w:qFormat/>
    <w:rsid w:val="006f29fd"/>
    <w:pPr>
      <w:pBdr>
        <w:top w:val="single" w:sz="4" w:space="0" w:color="000000"/>
        <w:left w:val="single" w:sz="4" w:space="0" w:color="000000"/>
        <w:bottom w:val="single" w:sz="8"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0" w:customStyle="1">
    <w:name w:val="xl110"/>
    <w:basedOn w:val="Normal"/>
    <w:qFormat/>
    <w:rsid w:val="006f29fd"/>
    <w:pPr>
      <w:pBdr>
        <w:top w:val="single" w:sz="4" w:space="0" w:color="000000"/>
        <w:left w:val="single" w:sz="4" w:space="0" w:color="000000"/>
        <w:bottom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1" w:customStyle="1">
    <w:name w:val="xl111"/>
    <w:basedOn w:val="Normal"/>
    <w:qFormat/>
    <w:rsid w:val="006f29fd"/>
    <w:pPr>
      <w:pBdr>
        <w:top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2" w:customStyle="1">
    <w:name w:val="xl112"/>
    <w:basedOn w:val="Normal"/>
    <w:qFormat/>
    <w:rsid w:val="006f29fd"/>
    <w:pPr>
      <w:pBdr>
        <w:top w:val="single" w:sz="8" w:space="0" w:color="000000"/>
        <w:left w:val="single" w:sz="4" w:space="0" w:color="000000"/>
        <w:bottom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3" w:customStyle="1">
    <w:name w:val="xl113"/>
    <w:basedOn w:val="Normal"/>
    <w:qFormat/>
    <w:rsid w:val="006f29fd"/>
    <w:pPr>
      <w:pBdr>
        <w:top w:val="single" w:sz="4" w:space="0" w:color="000000"/>
        <w:bottom w:val="single" w:sz="8" w:space="0" w:color="000000"/>
        <w:right w:val="single" w:sz="4"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114" w:customStyle="1">
    <w:name w:val="xl114"/>
    <w:basedOn w:val="Normal"/>
    <w:qFormat/>
    <w:rsid w:val="006f29fd"/>
    <w:pPr>
      <w:pBdr>
        <w:top w:val="single" w:sz="4" w:space="0" w:color="000000"/>
        <w:left w:val="single" w:sz="4" w:space="0" w:color="000000"/>
        <w:bottom w:val="single" w:sz="8"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115" w:customStyle="1">
    <w:name w:val="xl115"/>
    <w:basedOn w:val="Normal"/>
    <w:qFormat/>
    <w:rsid w:val="006f29fd"/>
    <w:pPr>
      <w:pBdr>
        <w:top w:val="single" w:sz="8" w:space="0" w:color="000000"/>
        <w:left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6" w:customStyle="1">
    <w:name w:val="xl116"/>
    <w:basedOn w:val="Normal"/>
    <w:qFormat/>
    <w:rsid w:val="006f29fd"/>
    <w:pPr>
      <w:pBdr>
        <w:left w:val="single" w:sz="8" w:space="0" w:color="000000"/>
        <w:bottom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7" w:customStyle="1">
    <w:name w:val="xl117"/>
    <w:basedOn w:val="Normal"/>
    <w:qFormat/>
    <w:rsid w:val="006f29fd"/>
    <w:pPr>
      <w:pBdr>
        <w:left w:val="single" w:sz="8"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8" w:customStyle="1">
    <w:name w:val="xl118"/>
    <w:basedOn w:val="Normal"/>
    <w:qFormat/>
    <w:rsid w:val="006f29fd"/>
    <w:pPr>
      <w:pBdr>
        <w:top w:val="single" w:sz="4" w:space="0" w:color="000000"/>
        <w:left w:val="single" w:sz="8"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9" w:customStyle="1">
    <w:name w:val="xl119"/>
    <w:basedOn w:val="Normal"/>
    <w:qFormat/>
    <w:rsid w:val="006f29fd"/>
    <w:pPr>
      <w:pBdr>
        <w:top w:val="single" w:sz="4" w:space="0" w:color="000000"/>
        <w:left w:val="single" w:sz="8" w:space="0" w:color="000000"/>
        <w:bottom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20" w:customStyle="1">
    <w:name w:val="xl120"/>
    <w:basedOn w:val="Normal"/>
    <w:qFormat/>
    <w:rsid w:val="006f29fd"/>
    <w:pPr>
      <w:pBdr>
        <w:top w:val="single" w:sz="8" w:space="0" w:color="000000"/>
        <w:left w:val="single" w:sz="8" w:space="0" w:color="000000"/>
        <w:bottom w:val="single" w:sz="4" w:space="0" w:color="000000"/>
      </w:pBdr>
      <w:shd w:val="clear" w:color="000000" w:fill="FFFFFF"/>
      <w:spacing w:lineRule="auto" w:line="240" w:beforeAutospacing="1" w:afterAutospacing="1"/>
    </w:pPr>
    <w:rPr>
      <w:rFonts w:ascii="Times New Roman" w:hAnsi="Times New Roman" w:eastAsia="Times New Roman" w:cs="Times New Roman"/>
      <w:b/>
      <w:bCs/>
      <w:sz w:val="24"/>
      <w:szCs w:val="24"/>
      <w:lang w:eastAsia="en-GB"/>
    </w:rPr>
  </w:style>
  <w:style w:type="paragraph" w:styleId="Xl121" w:customStyle="1">
    <w:name w:val="xl121"/>
    <w:basedOn w:val="Normal"/>
    <w:qFormat/>
    <w:rsid w:val="006f29fd"/>
    <w:pPr>
      <w:pBdr>
        <w:top w:val="single" w:sz="4" w:space="0" w:color="000000"/>
        <w:left w:val="single" w:sz="8" w:space="0" w:color="000000"/>
        <w:bottom w:val="single" w:sz="8" w:space="0" w:color="000000"/>
      </w:pBdr>
      <w:shd w:val="clear" w:color="000000" w:fill="FFFFFF"/>
      <w:spacing w:lineRule="auto" w:line="240" w:beforeAutospacing="1" w:afterAutospacing="1"/>
    </w:pPr>
    <w:rPr>
      <w:rFonts w:ascii="Times New Roman" w:hAnsi="Times New Roman" w:eastAsia="Times New Roman" w:cs="Times New Roman"/>
      <w:b/>
      <w:bCs/>
      <w:sz w:val="24"/>
      <w:szCs w:val="24"/>
      <w:lang w:eastAsia="en-GB"/>
    </w:rPr>
  </w:style>
  <w:style w:type="paragraph" w:styleId="Xl122" w:customStyle="1">
    <w:name w:val="xl122"/>
    <w:basedOn w:val="Normal"/>
    <w:qFormat/>
    <w:rsid w:val="006f29fd"/>
    <w:pPr>
      <w:pBdr>
        <w:left w:val="single" w:sz="8" w:space="0" w:color="000000"/>
        <w:bottom w:val="single" w:sz="4" w:space="0" w:color="000000"/>
        <w:right w:val="single" w:sz="8" w:space="0" w:color="000000"/>
      </w:pBdr>
      <w:shd w:val="clear" w:color="000000" w:fill="FFFFFF"/>
      <w:spacing w:lineRule="auto" w:line="240" w:beforeAutospacing="1" w:afterAutospacing="1"/>
    </w:pPr>
    <w:rPr>
      <w:rFonts w:ascii="Times New Roman" w:hAnsi="Times New Roman" w:eastAsia="Times New Roman" w:cs="Times New Roman"/>
      <w:sz w:val="24"/>
      <w:szCs w:val="24"/>
      <w:lang w:eastAsia="en-GB"/>
    </w:rPr>
  </w:style>
  <w:style w:type="paragraph" w:styleId="Xl123" w:customStyle="1">
    <w:name w:val="xl123"/>
    <w:basedOn w:val="Normal"/>
    <w:qFormat/>
    <w:rsid w:val="006f29fd"/>
    <w:pPr>
      <w:pBdr>
        <w:top w:val="single" w:sz="4" w:space="0" w:color="000000"/>
        <w:left w:val="single" w:sz="8" w:space="0" w:color="000000"/>
        <w:bottom w:val="single" w:sz="4" w:space="0" w:color="000000"/>
        <w:right w:val="single" w:sz="8" w:space="0" w:color="000000"/>
      </w:pBdr>
      <w:shd w:val="clear" w:color="000000" w:fill="FFFFFF"/>
      <w:spacing w:lineRule="auto" w:line="240" w:beforeAutospacing="1" w:afterAutospacing="1"/>
    </w:pPr>
    <w:rPr>
      <w:rFonts w:ascii="Times New Roman" w:hAnsi="Times New Roman" w:eastAsia="Times New Roman" w:cs="Times New Roman"/>
      <w:sz w:val="24"/>
      <w:szCs w:val="24"/>
      <w:lang w:eastAsia="en-GB"/>
    </w:rPr>
  </w:style>
  <w:style w:type="paragraph" w:styleId="Xl124" w:customStyle="1">
    <w:name w:val="xl124"/>
    <w:basedOn w:val="Normal"/>
    <w:qFormat/>
    <w:rsid w:val="006f29fd"/>
    <w:pPr>
      <w:pBdr>
        <w:top w:val="single" w:sz="4" w:space="0" w:color="000000"/>
        <w:left w:val="single" w:sz="8" w:space="0" w:color="000000"/>
        <w:bottom w:val="single" w:sz="8" w:space="0" w:color="000000"/>
        <w:right w:val="single" w:sz="8" w:space="0" w:color="000000"/>
      </w:pBdr>
      <w:shd w:val="clear" w:color="000000" w:fill="FFFFFF"/>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d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chart" Target="charts/chart10.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bar"/>
        <c:grouping val="clustered"/>
        <c:varyColors val="0"/>
        <c:ser>
          <c:idx val="0"/>
          <c:order val="0"/>
          <c:tx>
            <c:strRef>
              <c:f>label 0</c:f>
              <c:strCache>
                <c:ptCount val="1"/>
                <c:pt idx="0">
                  <c:v>Serie1</c:v>
                </c:pt>
              </c:strCache>
            </c:strRef>
          </c:tx>
          <c:spPr>
            <a:solidFill>
              <a:srgbClr val="95b3d7"/>
            </a:solidFill>
            <a:ln w="0">
              <a:noFill/>
            </a:ln>
          </c:spPr>
          <c:invertIfNegative val="0"/>
          <c:dPt>
            <c:idx val="0"/>
            <c:invertIfNegative val="0"/>
            <c:spPr>
              <a:solidFill>
                <a:srgbClr val="c3d69b"/>
              </a:solidFill>
              <a:ln w="0">
                <a:noFill/>
              </a:ln>
            </c:spPr>
          </c:dPt>
          <c:dPt>
            <c:idx val="1"/>
            <c:invertIfNegative val="0"/>
            <c:spPr>
              <a:solidFill>
                <a:srgbClr val="e6b9b8"/>
              </a:solidFill>
              <a:ln w="0">
                <a:noFill/>
              </a:ln>
            </c:spPr>
          </c:dPt>
          <c:dPt>
            <c:idx val="2"/>
            <c:invertIfNegative val="0"/>
            <c:spPr>
              <a:solidFill>
                <a:srgbClr val="95b3d7"/>
              </a:solidFill>
              <a:ln w="0">
                <a:noFill/>
              </a:ln>
            </c:spPr>
          </c:dPt>
          <c:dLbls>
            <c:dLbl>
              <c:idx val="0"/>
              <c:layout>
                <c:manualLayout>
                  <c:x val="-0.020226769564945"/>
                  <c:y val="0.00179407308771477"/>
                </c:manualLayout>
              </c:layout>
              <c:numFmt formatCode="#,##0.00" sourceLinked="0"/>
              <c:txPr>
                <a:bodyPr wrap="square"/>
                <a:lstStyle/>
                <a:p>
                  <a:pPr>
                    <a:defRPr b="0" sz="1000" spc="-1" strike="noStrike">
                      <a:solidFill>
                        <a:srgbClr val="000000"/>
                      </a:solidFill>
                      <a:latin typeface="Calibri"/>
                    </a:defRPr>
                  </a:pPr>
                </a:p>
              </c:txPr>
              <c:tx>
                <c:rich>
                  <a:bodyPr/>
                  <a:p>
                    <a:r>
                      <a:rPr b="0" sz="1300" spc="-1" strike="noStrike">
                        <a:latin typeface="Arial"/>
                      </a:rPr>
                      <a:t>861,00</a:t>
                    </a:r>
                    <a:r>
                      <a:rPr b="0" sz="1300" spc="-1" strike="noStrike">
                        <a:latin typeface="Arial"/>
                      </a:rPr>
                      <a:t> Trainees in</a:t>
                    </a:r>
                    <a:r>
                      <a:rPr b="0" sz="1300" spc="-1" strike="noStrike">
                        <a:latin typeface="Arial"/>
                      </a:rPr>
                      <a:t> Wessex (35%)</a:t>
                    </a:r>
                  </a:p>
                </c:rich>
              </c:tx>
              <c:dLblPos val="outEnd"/>
              <c:showLegendKey val="0"/>
              <c:showVal val="1"/>
              <c:showCatName val="0"/>
              <c:showSerName val="0"/>
              <c:showPercent val="0"/>
              <c:separator>; </c:separator>
            </c:dLbl>
            <c:dLbl>
              <c:idx val="1"/>
              <c:layout>
                <c:manualLayout>
                  <c:x val="-0.000855716145561543"/>
                  <c:y val="0.0841459852031006"/>
                </c:manualLayout>
              </c:layout>
              <c:numFmt formatCode="#,##0.00" sourceLinked="0"/>
              <c:txPr>
                <a:bodyPr wrap="square"/>
                <a:lstStyle/>
                <a:p>
                  <a:pPr>
                    <a:defRPr b="0" sz="1000" spc="-1" strike="noStrike">
                      <a:solidFill>
                        <a:srgbClr val="000000"/>
                      </a:solidFill>
                      <a:latin typeface="Calibri"/>
                    </a:defRPr>
                  </a:pPr>
                </a:p>
              </c:txPr>
              <c:tx>
                <c:rich>
                  <a:bodyPr/>
                  <a:p>
                    <a:r>
                      <a:rPr b="0" sz="1300" spc="-1" strike="noStrike">
                        <a:latin typeface="Arial"/>
                      </a:rPr>
                      <a:t>1.273,00</a:t>
                    </a:r>
                    <a:r>
                      <a:rPr b="0" sz="1300" spc="-1" strike="noStrike">
                        <a:latin typeface="Arial"/>
                      </a:rPr>
                      <a:t> Trainees in Wessex (65%)</a:t>
                    </a:r>
                  </a:p>
                </c:rich>
              </c:tx>
              <c:dLblPos val="outEnd"/>
              <c:showLegendKey val="0"/>
              <c:showVal val="1"/>
              <c:showCatName val="0"/>
              <c:showSerName val="0"/>
              <c:showPercent val="0"/>
              <c:separator>; </c:separator>
            </c:dLbl>
            <c:dLbl>
              <c:idx val="2"/>
              <c:layout>
                <c:manualLayout>
                  <c:x val="-0.0211713381649575"/>
                  <c:y val="0.000564395045960066"/>
                </c:manualLayout>
              </c:layout>
              <c:numFmt formatCode="#,##0.00" sourceLinked="0"/>
              <c:txPr>
                <a:bodyPr wrap="square"/>
                <a:lstStyle/>
                <a:p>
                  <a:pPr>
                    <a:defRPr b="0" sz="1000" spc="-1" strike="noStrike">
                      <a:solidFill>
                        <a:srgbClr val="000000"/>
                      </a:solidFill>
                      <a:latin typeface="Calibri"/>
                    </a:defRPr>
                  </a:pPr>
                </a:p>
              </c:txPr>
              <c:tx>
                <c:rich>
                  <a:bodyPr/>
                  <a:p>
                    <a:r>
                      <a:rPr b="0" sz="1300" spc="-1" strike="noStrike">
                        <a:latin typeface="Arial"/>
                      </a:rPr>
                      <a:t>485,00</a:t>
                    </a:r>
                    <a:r>
                      <a:rPr b="0" sz="1300" spc="-1" strike="noStrike">
                        <a:latin typeface="Arial"/>
                      </a:rPr>
                      <a:t>
</a:t>
                    </a:r>
                    <a:r>
                      <a:rPr b="0" sz="1300" spc="-1" strike="noStrike">
                        <a:latin typeface="Arial"/>
                      </a:rPr>
                      <a:t>(18.5%)</a:t>
                    </a:r>
                  </a:p>
                </c:rich>
              </c:tx>
              <c:dLblPos val="outEnd"/>
              <c:showLegendKey val="0"/>
              <c:showVal val="1"/>
              <c:showCatName val="0"/>
              <c:showSerName val="0"/>
              <c:showPercent val="0"/>
              <c:separator>; </c:separator>
            </c:dLbl>
            <c:txPr>
              <a:bodyPr wrap="square"/>
              <a:lstStyle/>
              <a:p>
                <a:pPr>
                  <a:defRPr b="0" sz="900" spc="-1" strike="noStrike">
                    <a:solidFill>
                      <a:srgbClr val="404040"/>
                    </a:solidFill>
                    <a:latin typeface="Calibri"/>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3"/>
                <c:pt idx="0">
                  <c:v>Male</c:v>
                </c:pt>
                <c:pt idx="1">
                  <c:v>Female</c:v>
                </c:pt>
                <c:pt idx="2">
                  <c:v>Unknown 
(incl 18 prefer not to say)</c:v>
                </c:pt>
              </c:strCache>
            </c:strRef>
          </c:cat>
          <c:val>
            <c:numRef>
              <c:f>0</c:f>
              <c:numCache>
                <c:formatCode>General</c:formatCode>
                <c:ptCount val="3"/>
                <c:pt idx="0">
                  <c:v>861</c:v>
                </c:pt>
                <c:pt idx="1">
                  <c:v>1273</c:v>
                </c:pt>
                <c:pt idx="2">
                  <c:v>485</c:v>
                </c:pt>
              </c:numCache>
            </c:numRef>
          </c:val>
        </c:ser>
        <c:ser>
          <c:idx val="1"/>
          <c:order val="1"/>
          <c:tx>
            <c:strRef>
              <c:f>label 1</c:f>
              <c:strCache>
                <c:ptCount val="1"/>
                <c:pt idx="0">
                  <c:v>Serie2</c:v>
                </c:pt>
              </c:strCache>
            </c:strRef>
          </c:tx>
          <c:spPr>
            <a:solidFill>
              <a:srgbClr val="ff0066"/>
            </a:solidFill>
            <a:ln w="0">
              <a:noFill/>
            </a:ln>
          </c:spPr>
          <c:invertIfNegative val="0"/>
          <c:dPt>
            <c:idx val="0"/>
            <c:invertIfNegative val="0"/>
            <c:spPr>
              <a:solidFill>
                <a:srgbClr val="77933c"/>
              </a:solidFill>
              <a:ln w="0">
                <a:noFill/>
              </a:ln>
            </c:spPr>
          </c:dPt>
          <c:dPt>
            <c:idx val="1"/>
            <c:invertIfNegative val="0"/>
            <c:spPr>
              <a:solidFill>
                <a:srgbClr val="953735"/>
              </a:solidFill>
              <a:ln w="0">
                <a:noFill/>
              </a:ln>
            </c:spPr>
          </c:dPt>
          <c:dLbls>
            <c:numFmt formatCode="General" sourceLinked="0"/>
            <c:dLbl>
              <c:idx val="0"/>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46</a:t>
                    </a:r>
                    <a:r>
                      <a:rPr b="0" sz="1300" spc="-1" strike="noStrike">
                        <a:latin typeface="Arial"/>
                      </a:rPr>
                      <a:t> PSU Cases</a:t>
                    </a:r>
                    <a:r>
                      <a:rPr b="0" sz="1300" spc="-1" strike="noStrike">
                        <a:latin typeface="Arial"/>
                      </a:rPr>
                      <a:t> (5.34%)</a:t>
                    </a:r>
                  </a:p>
                </c:rich>
              </c:tx>
              <c:dLblPos val="outEnd"/>
              <c:showLegendKey val="0"/>
              <c:showVal val="1"/>
              <c:showCatName val="0"/>
              <c:showSerName val="0"/>
              <c:showPercent val="0"/>
              <c:separator>; </c:separator>
            </c:dLbl>
            <c:dLbl>
              <c:idx val="1"/>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85</a:t>
                    </a:r>
                    <a:r>
                      <a:rPr b="0" sz="1300" spc="-1" strike="noStrike">
                        <a:latin typeface="Arial"/>
                      </a:rPr>
                      <a:t> PSU Cases</a:t>
                    </a:r>
                    <a:r>
                      <a:rPr b="0" sz="1300" spc="-1" strike="noStrike">
                        <a:latin typeface="Arial"/>
                      </a:rPr>
                      <a:t> (6.68%)</a:t>
                    </a:r>
                  </a:p>
                </c:rich>
              </c:tx>
              <c:dLblPos val="outEnd"/>
              <c:showLegendKey val="0"/>
              <c:showVal val="1"/>
              <c:showCatName val="0"/>
              <c:showSerName val="0"/>
              <c:showPercent val="0"/>
              <c:separator>; </c:separator>
            </c:dLbl>
            <c:txPr>
              <a:bodyPr wrap="square"/>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3"/>
                <c:pt idx="0">
                  <c:v>Male</c:v>
                </c:pt>
                <c:pt idx="1">
                  <c:v>Female</c:v>
                </c:pt>
                <c:pt idx="2">
                  <c:v>Unknown 
(incl 18 prefer not to say)</c:v>
                </c:pt>
              </c:strCache>
            </c:strRef>
          </c:cat>
          <c:val>
            <c:numRef>
              <c:f>1</c:f>
              <c:numCache>
                <c:formatCode>General</c:formatCode>
                <c:ptCount val="3"/>
                <c:pt idx="0">
                  <c:v>46</c:v>
                </c:pt>
                <c:pt idx="1">
                  <c:v>85</c:v>
                </c:pt>
              </c:numCache>
            </c:numRef>
          </c:val>
        </c:ser>
        <c:gapWidth val="182"/>
        <c:overlap val="0"/>
        <c:axId val="12011253"/>
        <c:axId val="10551891"/>
      </c:barChart>
      <c:catAx>
        <c:axId val="12011253"/>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10551891"/>
        <c:crosses val="autoZero"/>
        <c:auto val="1"/>
        <c:lblAlgn val="ctr"/>
        <c:lblOffset val="100"/>
        <c:noMultiLvlLbl val="0"/>
      </c:catAx>
      <c:valAx>
        <c:axId val="1055189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12011253"/>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CM vs SSG Trainee Costs</a:t>
            </a:r>
          </a:p>
        </c:rich>
      </c:tx>
      <c:overlay val="0"/>
      <c:spPr>
        <a:noFill/>
        <a:ln w="0">
          <a:noFill/>
        </a:ln>
      </c:spPr>
    </c:title>
    <c:autoTitleDeleted val="0"/>
    <c:plotArea>
      <c:lineChart>
        <c:grouping val="standard"/>
        <c:varyColors val="0"/>
        <c:ser>
          <c:idx val="0"/>
          <c:order val="0"/>
          <c:tx>
            <c:strRef>
              <c:f>label 0</c:f>
              <c:strCache>
                <c:ptCount val="1"/>
                <c:pt idx="0">
                  <c:v>SSG Costs</c:v>
                </c:pt>
              </c:strCache>
            </c:strRef>
          </c:tx>
          <c:spPr>
            <a:solidFill>
              <a:srgbClr val="4f81bd"/>
            </a:solidFill>
            <a:ln w="28440">
              <a:solidFill>
                <a:srgbClr val="4f81bd"/>
              </a:solidFill>
              <a:round/>
            </a:ln>
          </c:spPr>
          <c:marker>
            <c:symbol val="none"/>
          </c:marker>
          <c:dLbls>
            <c:numFmt formatCode="\£#,##0.00"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4000.8</c:v>
                </c:pt>
                <c:pt idx="1">
                  <c:v>3212.94</c:v>
                </c:pt>
                <c:pt idx="2">
                  <c:v>3182.14</c:v>
                </c:pt>
                <c:pt idx="3">
                  <c:v>5765.2</c:v>
                </c:pt>
                <c:pt idx="4">
                  <c:v>1208.21</c:v>
                </c:pt>
                <c:pt idx="5">
                  <c:v>3568.61</c:v>
                </c:pt>
                <c:pt idx="6">
                  <c:v>2305.83</c:v>
                </c:pt>
                <c:pt idx="7">
                  <c:v>1920.4</c:v>
                </c:pt>
                <c:pt idx="8">
                  <c:v>3823.11</c:v>
                </c:pt>
                <c:pt idx="9">
                  <c:v>5427.51</c:v>
                </c:pt>
                <c:pt idx="10">
                  <c:v>4989.51</c:v>
                </c:pt>
                <c:pt idx="11">
                  <c:v>3997.57</c:v>
                </c:pt>
              </c:numCache>
            </c:numRef>
          </c:val>
          <c:smooth val="0"/>
        </c:ser>
        <c:ser>
          <c:idx val="1"/>
          <c:order val="1"/>
          <c:tx>
            <c:strRef>
              <c:f>label 1</c:f>
              <c:strCache>
                <c:ptCount val="1"/>
                <c:pt idx="0">
                  <c:v>CM Costs</c:v>
                </c:pt>
              </c:strCache>
            </c:strRef>
          </c:tx>
          <c:spPr>
            <a:solidFill>
              <a:srgbClr val="c0504d"/>
            </a:solidFill>
            <a:ln w="28440">
              <a:solidFill>
                <a:srgbClr val="c0504d"/>
              </a:solidFill>
              <a:round/>
            </a:ln>
          </c:spPr>
          <c:marker>
            <c:symbol val="none"/>
          </c:marker>
          <c:dLbls>
            <c:numFmt formatCode="\£#,##0.00"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1</c:f>
              <c:numCache>
                <c:formatCode>General</c:formatCode>
                <c:ptCount val="12"/>
                <c:pt idx="0">
                  <c:v>2962.77</c:v>
                </c:pt>
                <c:pt idx="1">
                  <c:v>4764.07</c:v>
                </c:pt>
                <c:pt idx="2">
                  <c:v>1904.59</c:v>
                </c:pt>
                <c:pt idx="3">
                  <c:v>4469.88</c:v>
                </c:pt>
                <c:pt idx="4">
                  <c:v>2415.96</c:v>
                </c:pt>
                <c:pt idx="5">
                  <c:v>2926.1</c:v>
                </c:pt>
                <c:pt idx="6">
                  <c:v>4816.69</c:v>
                </c:pt>
                <c:pt idx="7">
                  <c:v>4547.83</c:v>
                </c:pt>
                <c:pt idx="8">
                  <c:v>3375.1</c:v>
                </c:pt>
                <c:pt idx="9">
                  <c:v>4915.3</c:v>
                </c:pt>
                <c:pt idx="10">
                  <c:v>2910.64</c:v>
                </c:pt>
                <c:pt idx="11">
                  <c:v>2728.99</c:v>
                </c:pt>
              </c:numCache>
            </c:numRef>
          </c:val>
          <c:smooth val="0"/>
        </c:ser>
        <c:hiLowLines>
          <c:spPr>
            <a:ln w="0">
              <a:noFill/>
            </a:ln>
          </c:spPr>
        </c:hiLowLines>
        <c:marker val="0"/>
        <c:axId val="71996590"/>
        <c:axId val="61412662"/>
      </c:lineChart>
      <c:dateAx>
        <c:axId val="71996590"/>
        <c:scaling>
          <c:orientation val="minMax"/>
        </c:scaling>
        <c:delete val="0"/>
        <c:axPos val="b"/>
        <c:numFmt formatCode="mmm\-yy" sourceLinked="0"/>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61412662"/>
        <c:crosses val="autoZero"/>
        <c:auto val="1"/>
        <c:lblOffset val="100"/>
        <c:noMultiLvlLbl val="0"/>
      </c:dateAx>
      <c:valAx>
        <c:axId val="61412662"/>
        <c:scaling>
          <c:orientation val="minMax"/>
        </c:scaling>
        <c:delete val="0"/>
        <c:axPos val="l"/>
        <c:majorGridlines>
          <c:spPr>
            <a:ln w="9360">
              <a:solidFill>
                <a:srgbClr val="d9d9d9"/>
              </a:solidFill>
              <a:round/>
            </a:ln>
          </c:spPr>
        </c:majorGridlines>
        <c:numFmt formatCode="\£#,##0.00"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71996590"/>
        <c:crosses val="autoZero"/>
        <c:crossBetween val="between"/>
      </c:valAx>
      <c:spPr>
        <a:noFill/>
        <a:ln w="2556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0"/>
    <c:dispBlanksAs val="span"/>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1238125"/>
          <c:y val="0.0941111111111111"/>
          <c:w val="0.3580625"/>
          <c:h val="0.843444444444444"/>
        </c:manualLayout>
      </c:layout>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4f81bd"/>
              </a:solidFill>
              <a:ln w="0">
                <a:noFill/>
              </a:ln>
            </c:spPr>
          </c:dPt>
          <c:dPt>
            <c:idx val="1"/>
            <c:spPr>
              <a:solidFill>
                <a:srgbClr val="e46c0a"/>
              </a:solidFill>
              <a:ln w="0">
                <a:noFill/>
              </a:ln>
            </c:spPr>
          </c:dPt>
          <c:dPt>
            <c:idx val="2"/>
            <c:spPr>
              <a:solidFill>
                <a:srgbClr val="9bbb59"/>
              </a:solidFill>
              <a:ln w="0">
                <a:noFill/>
              </a:ln>
            </c:spPr>
          </c:dPt>
          <c:dPt>
            <c:idx val="3"/>
            <c:spPr>
              <a:solidFill>
                <a:srgbClr val="ffc000"/>
              </a:solidFill>
              <a:ln w="0">
                <a:noFill/>
              </a:ln>
            </c:spPr>
          </c:dPt>
          <c:dLbls>
            <c:numFmt formatCode="0%" sourceLinked="0"/>
            <c:dLbl>
              <c:idx val="0"/>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15  (11%)</a:t>
                    </a:r>
                  </a:p>
                </c:rich>
              </c:tx>
              <c:dLblPos val="bestFit"/>
              <c:showLegendKey val="0"/>
              <c:showVal val="1"/>
              <c:showCatName val="0"/>
              <c:showSerName val="0"/>
              <c:showPercent val="0"/>
              <c:separator>; </c:separator>
            </c:dLbl>
            <c:dLbl>
              <c:idx val="1"/>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38  (</a:t>
                    </a:r>
                    <a:r>
                      <a:rPr b="0" sz="1300" spc="-1" strike="noStrike">
                        <a:latin typeface="Arial"/>
                      </a:rPr>
                      <a:t>29%</a:t>
                    </a:r>
                    <a:r>
                      <a:rPr b="0" sz="1300" spc="-1" strike="noStrike">
                        <a:latin typeface="Arial"/>
                      </a:rPr>
                      <a:t>)</a:t>
                    </a:r>
                  </a:p>
                </c:rich>
              </c:tx>
              <c:dLblPos val="bestFit"/>
              <c:showLegendKey val="0"/>
              <c:showVal val="1"/>
              <c:showCatName val="0"/>
              <c:showSerName val="0"/>
              <c:showPercent val="0"/>
              <c:separator>; </c:separator>
            </c:dLbl>
            <c:dLbl>
              <c:idx val="2"/>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56  (43%)  </a:t>
                    </a:r>
                  </a:p>
                </c:rich>
              </c:tx>
              <c:dLblPos val="bestFit"/>
              <c:showLegendKey val="0"/>
              <c:showVal val="1"/>
              <c:showCatName val="0"/>
              <c:showSerName val="0"/>
              <c:showPercent val="0"/>
              <c:separator>; </c:separator>
            </c:dLbl>
            <c:dLbl>
              <c:idx val="3"/>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20  (15%)</a:t>
                    </a:r>
                  </a:p>
                </c:rich>
              </c:tx>
              <c:dLblPos val="bestFit"/>
              <c:showLegendKey val="0"/>
              <c:showVal val="1"/>
              <c:showCatName val="0"/>
              <c:showSerName val="0"/>
              <c:showPercent val="0"/>
              <c:separator>; </c:separator>
            </c:dLbl>
            <c:txPr>
              <a:bodyPr wrap="none"/>
              <a:lstStyle/>
              <a:p>
                <a:pPr>
                  <a:defRPr b="0" sz="1000" spc="-1" strike="noStrike">
                    <a:solidFill>
                      <a:srgbClr val="000000"/>
                    </a:solidFill>
                    <a:latin typeface="Calibri"/>
                  </a:defRPr>
                </a:pPr>
              </a:p>
            </c:txPr>
            <c:dLblPos val="bestFit"/>
            <c:showLegendKey val="0"/>
            <c:showVal val="1"/>
            <c:showCatName val="0"/>
            <c:showSerName val="0"/>
            <c:showPercent val="0"/>
            <c:separator>; </c:separator>
            <c:showLeaderLines val="0"/>
          </c:dLbls>
          <c:cat>
            <c:strRef>
              <c:f>categories</c:f>
              <c:strCache>
                <c:ptCount val="4"/>
                <c:pt idx="0">
                  <c:v>F1 &amp; F2</c:v>
                </c:pt>
                <c:pt idx="1">
                  <c:v>CT1/2 &amp; ST1/2</c:v>
                </c:pt>
                <c:pt idx="2">
                  <c:v>ST3/CT3 - ST5</c:v>
                </c:pt>
                <c:pt idx="3">
                  <c:v>ST6 - ST7</c:v>
                </c:pt>
              </c:strCache>
            </c:strRef>
          </c:cat>
          <c:val>
            <c:numRef>
              <c:f>0</c:f>
              <c:numCache>
                <c:formatCode>General</c:formatCode>
                <c:ptCount val="4"/>
                <c:pt idx="0">
                  <c:v>0.114503816793893</c:v>
                </c:pt>
                <c:pt idx="1">
                  <c:v>0.290076335877863</c:v>
                </c:pt>
                <c:pt idx="2">
                  <c:v>0.427480916030534</c:v>
                </c:pt>
                <c:pt idx="3">
                  <c:v>0.152671755725191</c:v>
                </c:pt>
              </c:numCache>
            </c:numRef>
          </c:val>
        </c:ser>
        <c:firstSliceAng val="0"/>
      </c:pieChart>
      <c:spPr>
        <a:solidFill>
          <a:srgbClr val="ffffff"/>
        </a:solidFill>
        <a:ln w="0">
          <a:noFill/>
        </a:ln>
      </c:spPr>
    </c:plotArea>
    <c:legend>
      <c:legendPos val="r"/>
      <c:layout>
        <c:manualLayout>
          <c:xMode val="edge"/>
          <c:yMode val="edge"/>
          <c:x val="0.7021875"/>
          <c:y val="0.100777777777778"/>
          <c:w val="0.250453153322083"/>
          <c:h val="0.479831092343594"/>
        </c:manualLayout>
      </c:layout>
      <c:overlay val="0"/>
      <c:spPr>
        <a:noFill/>
        <a:ln w="0">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575"/>
          <c:y val="0.0432222222222222"/>
          <c:w val="0.6201875"/>
          <c:h val="0.889444444444444"/>
        </c:manualLayout>
      </c:layout>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00b050"/>
              </a:solidFill>
              <a:ln w="0">
                <a:noFill/>
              </a:ln>
            </c:spPr>
          </c:dPt>
          <c:dPt>
            <c:idx val="1"/>
            <c:spPr>
              <a:solidFill>
                <a:srgbClr val="00b0f0"/>
              </a:solidFill>
              <a:ln w="0">
                <a:noFill/>
              </a:ln>
            </c:spPr>
          </c:dPt>
          <c:dPt>
            <c:idx val="2"/>
            <c:spPr>
              <a:solidFill>
                <a:srgbClr val="ffc000"/>
              </a:solidFill>
              <a:ln w="0">
                <a:noFill/>
              </a:ln>
            </c:spPr>
          </c:dPt>
          <c:dPt>
            <c:idx val="3"/>
            <c:spPr>
              <a:solidFill>
                <a:srgbClr val="9999ff"/>
              </a:solidFill>
              <a:ln w="0">
                <a:noFill/>
              </a:ln>
            </c:spPr>
          </c:dPt>
          <c:dLbls>
            <c:numFmt formatCode="General" sourceLinked="0"/>
            <c:dLbl>
              <c:idx val="0"/>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85 (</a:t>
                    </a:r>
                    <a:r>
                      <a:rPr b="0" sz="1300" spc="-1" strike="noStrike">
                        <a:latin typeface="Arial"/>
                      </a:rPr>
                      <a:t>8500%</a:t>
                    </a:r>
                    <a:r>
                      <a:rPr b="0" sz="1300" spc="-1" strike="noStrike">
                        <a:latin typeface="Arial"/>
                      </a:rPr>
                      <a:t>)</a:t>
                    </a:r>
                  </a:p>
                </c:rich>
              </c:tx>
              <c:dLblPos val="bestFit"/>
              <c:showLegendKey val="0"/>
              <c:showVal val="1"/>
              <c:showCatName val="0"/>
              <c:showSerName val="0"/>
              <c:showPercent val="1"/>
              <c:separator>; </c:separator>
            </c:dLbl>
            <c:dLbl>
              <c:idx val="1"/>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11</a:t>
                    </a:r>
                    <a:r>
                      <a:rPr b="0" sz="1300" spc="-1" strike="noStrike">
                        <a:latin typeface="Arial"/>
                      </a:rPr>
                      <a:t> (</a:t>
                    </a:r>
                    <a:r>
                      <a:rPr b="0" sz="1300" spc="-1" strike="noStrike">
                        <a:latin typeface="Arial"/>
                      </a:rPr>
                      <a:t>1100%</a:t>
                    </a:r>
                    <a:r>
                      <a:rPr b="0" sz="1300" spc="-1" strike="noStrike">
                        <a:latin typeface="Arial"/>
                      </a:rPr>
                      <a:t>)</a:t>
                    </a:r>
                  </a:p>
                </c:rich>
              </c:tx>
              <c:dLblPos val="bestFit"/>
              <c:showLegendKey val="0"/>
              <c:showVal val="1"/>
              <c:showCatName val="0"/>
              <c:showSerName val="0"/>
              <c:showPercent val="1"/>
              <c:separator>; </c:separator>
            </c:dLbl>
            <c:dLbl>
              <c:idx val="2"/>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30</a:t>
                    </a:r>
                    <a:r>
                      <a:rPr b="0" sz="1300" spc="-1" strike="noStrike">
                        <a:latin typeface="Arial"/>
                      </a:rPr>
                      <a:t> (</a:t>
                    </a:r>
                    <a:r>
                      <a:rPr b="0" sz="1300" spc="-1" strike="noStrike">
                        <a:latin typeface="Arial"/>
                      </a:rPr>
                      <a:t>3000%</a:t>
                    </a:r>
                    <a:r>
                      <a:rPr b="0" sz="1300" spc="-1" strike="noStrike">
                        <a:latin typeface="Arial"/>
                      </a:rPr>
                      <a:t>)</a:t>
                    </a:r>
                  </a:p>
                </c:rich>
              </c:tx>
              <c:dLblPos val="bestFit"/>
              <c:showLegendKey val="0"/>
              <c:showVal val="1"/>
              <c:showCatName val="0"/>
              <c:showSerName val="0"/>
              <c:showPercent val="1"/>
              <c:separator>; </c:separator>
            </c:dLbl>
            <c:dLbl>
              <c:idx val="3"/>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5</a:t>
                    </a:r>
                    <a:r>
                      <a:rPr b="0" sz="1300" spc="-1" strike="noStrike">
                        <a:latin typeface="Arial"/>
                      </a:rPr>
                      <a:t> (</a:t>
                    </a:r>
                    <a:r>
                      <a:rPr b="0" sz="1300" spc="-1" strike="noStrike">
                        <a:latin typeface="Arial"/>
                      </a:rPr>
                      <a:t>500%</a:t>
                    </a:r>
                    <a:r>
                      <a:rPr b="0" sz="1300" spc="-1" strike="noStrike">
                        <a:latin typeface="Arial"/>
                      </a:rPr>
                      <a:t>)</a:t>
                    </a:r>
                  </a:p>
                </c:rich>
              </c:tx>
              <c:dLblPos val="bestFit"/>
              <c:showLegendKey val="0"/>
              <c:showVal val="1"/>
              <c:showCatName val="0"/>
              <c:showSerName val="0"/>
              <c:showPercent val="1"/>
              <c:separator>; </c:separator>
            </c:dLbl>
            <c:txPr>
              <a:bodyPr wrap="none"/>
              <a:lstStyle/>
              <a:p>
                <a:pPr>
                  <a:defRPr b="0" sz="1000" spc="-1" strike="noStrike">
                    <a:solidFill>
                      <a:srgbClr val="000000"/>
                    </a:solidFill>
                    <a:latin typeface="Calibri"/>
                  </a:defRPr>
                </a:pPr>
              </a:p>
            </c:txPr>
            <c:dLblPos val="bestFit"/>
            <c:showLegendKey val="0"/>
            <c:showVal val="1"/>
            <c:showCatName val="0"/>
            <c:showSerName val="0"/>
            <c:showPercent val="1"/>
            <c:separator>; </c:separator>
            <c:showLeaderLines val="0"/>
          </c:dLbls>
          <c:cat>
            <c:strRef>
              <c:f>categories</c:f>
              <c:strCache>
                <c:ptCount val="4"/>
                <c:pt idx="0">
                  <c:v>ST (inc Core)</c:v>
                </c:pt>
                <c:pt idx="1">
                  <c:v>FT</c:v>
                </c:pt>
                <c:pt idx="2">
                  <c:v>GP</c:v>
                </c:pt>
                <c:pt idx="3">
                  <c:v>Other (incl Dental)</c:v>
                </c:pt>
              </c:strCache>
            </c:strRef>
          </c:cat>
          <c:val>
            <c:numRef>
              <c:f>0</c:f>
              <c:numCache>
                <c:formatCode>General</c:formatCode>
                <c:ptCount val="4"/>
                <c:pt idx="0">
                  <c:v>85</c:v>
                </c:pt>
                <c:pt idx="1">
                  <c:v>11</c:v>
                </c:pt>
                <c:pt idx="2">
                  <c:v>30</c:v>
                </c:pt>
                <c:pt idx="3">
                  <c:v>5</c:v>
                </c:pt>
              </c:numCache>
            </c:numRef>
          </c:val>
        </c:ser>
        <c:firstSliceAng val="0"/>
      </c:pieChart>
      <c:spPr>
        <a:solidFill>
          <a:srgbClr val="ffffff"/>
        </a:solidFill>
        <a:ln w="0">
          <a:noFill/>
        </a:ln>
      </c:spPr>
    </c:plotArea>
    <c:legend>
      <c:legendPos val="r"/>
      <c:layout>
        <c:manualLayout>
          <c:xMode val="edge"/>
          <c:yMode val="edge"/>
          <c:x val="0.752"/>
          <c:y val="0.171777777777778"/>
          <c:w val="0.227826739171198"/>
          <c:h val="0.656295143904878"/>
        </c:manualLayout>
      </c:layout>
      <c:overlay val="0"/>
      <c:spPr>
        <a:noFill/>
        <a:ln w="0">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Mar-18</c:v>
                </c:pt>
              </c:strCache>
            </c:strRef>
          </c:tx>
          <c:spPr>
            <a:solidFill>
              <a:srgbClr val="92d050"/>
            </a:solidFill>
            <a:ln w="0">
              <a:noFill/>
            </a:ln>
          </c:spPr>
          <c:invertIfNegative val="0"/>
          <c:dPt>
            <c:idx val="0"/>
            <c:invertIfNegative val="0"/>
            <c:spPr>
              <a:solidFill>
                <a:srgbClr val="92d050"/>
              </a:solidFill>
              <a:ln w="0">
                <a:noFill/>
              </a:ln>
            </c:spPr>
          </c:dPt>
          <c:dPt>
            <c:idx val="1"/>
            <c:invertIfNegative val="0"/>
            <c:spPr>
              <a:solidFill>
                <a:srgbClr val="92d050"/>
              </a:solidFill>
              <a:ln w="0">
                <a:noFill/>
              </a:ln>
            </c:spPr>
          </c:dPt>
          <c:dPt>
            <c:idx val="2"/>
            <c:invertIfNegative val="0"/>
            <c:spPr>
              <a:solidFill>
                <a:srgbClr val="92d050"/>
              </a:solidFill>
              <a:ln w="0">
                <a:noFill/>
              </a:ln>
            </c:spPr>
          </c:dPt>
          <c:dPt>
            <c:idx val="3"/>
            <c:invertIfNegative val="0"/>
            <c:spPr>
              <a:solidFill>
                <a:srgbClr val="92d050"/>
              </a:solidFill>
              <a:ln w="0">
                <a:noFill/>
              </a:ln>
            </c:spPr>
          </c:dPt>
          <c:dPt>
            <c:idx val="4"/>
            <c:invertIfNegative val="0"/>
            <c:spPr>
              <a:solidFill>
                <a:srgbClr val="92d050"/>
              </a:solidFill>
              <a:ln w="0">
                <a:noFill/>
              </a:ln>
            </c:spPr>
          </c:dPt>
          <c:dLbls>
            <c:numFmt formatCode="General" sourceLinked="0"/>
            <c:dLbl>
              <c:idx val="0"/>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1"/>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2"/>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3"/>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4"/>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0-6 months</c:v>
                </c:pt>
                <c:pt idx="1">
                  <c:v>7-12 months</c:v>
                </c:pt>
                <c:pt idx="2">
                  <c:v>13-18 months</c:v>
                </c:pt>
                <c:pt idx="3">
                  <c:v>19-24 months</c:v>
                </c:pt>
                <c:pt idx="4">
                  <c:v>25 months +</c:v>
                </c:pt>
              </c:strCache>
            </c:strRef>
          </c:cat>
          <c:val>
            <c:numRef>
              <c:f>0</c:f>
              <c:numCache>
                <c:formatCode>General</c:formatCode>
                <c:ptCount val="5"/>
                <c:pt idx="0">
                  <c:v>47</c:v>
                </c:pt>
                <c:pt idx="1">
                  <c:v>25</c:v>
                </c:pt>
                <c:pt idx="2">
                  <c:v>16</c:v>
                </c:pt>
                <c:pt idx="3">
                  <c:v>8</c:v>
                </c:pt>
                <c:pt idx="4">
                  <c:v>25</c:v>
                </c:pt>
              </c:numCache>
            </c:numRef>
          </c:val>
        </c:ser>
        <c:ser>
          <c:idx val="1"/>
          <c:order val="1"/>
          <c:tx>
            <c:strRef>
              <c:f>label 1</c:f>
              <c:strCache>
                <c:ptCount val="1"/>
                <c:pt idx="0">
                  <c:v>Mar-19</c:v>
                </c:pt>
              </c:strCache>
            </c:strRef>
          </c:tx>
          <c:spPr>
            <a:solidFill>
              <a:srgbClr val="c0504d"/>
            </a:solidFill>
            <a:ln w="0">
              <a:noFill/>
            </a:ln>
          </c:spPr>
          <c:invertIfNegative val="0"/>
          <c:dLbls>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0-6 months</c:v>
                </c:pt>
                <c:pt idx="1">
                  <c:v>7-12 months</c:v>
                </c:pt>
                <c:pt idx="2">
                  <c:v>13-18 months</c:v>
                </c:pt>
                <c:pt idx="3">
                  <c:v>19-24 months</c:v>
                </c:pt>
                <c:pt idx="4">
                  <c:v>25 months +</c:v>
                </c:pt>
              </c:strCache>
            </c:strRef>
          </c:cat>
          <c:val>
            <c:numRef>
              <c:f>1</c:f>
              <c:numCache>
                <c:formatCode>General</c:formatCode>
                <c:ptCount val="5"/>
                <c:pt idx="0">
                  <c:v>83</c:v>
                </c:pt>
                <c:pt idx="1">
                  <c:v>27</c:v>
                </c:pt>
                <c:pt idx="2">
                  <c:v>18</c:v>
                </c:pt>
                <c:pt idx="3">
                  <c:v>10</c:v>
                </c:pt>
                <c:pt idx="4">
                  <c:v>25</c:v>
                </c:pt>
              </c:numCache>
            </c:numRef>
          </c:val>
        </c:ser>
        <c:ser>
          <c:idx val="2"/>
          <c:order val="2"/>
          <c:tx>
            <c:strRef>
              <c:f>label 2</c:f>
              <c:strCache>
                <c:ptCount val="1"/>
                <c:pt idx="0">
                  <c:v>Mar-20</c:v>
                </c:pt>
              </c:strCache>
            </c:strRef>
          </c:tx>
          <c:spPr>
            <a:solidFill>
              <a:srgbClr val="00b0f0"/>
            </a:solidFill>
            <a:ln w="0">
              <a:noFill/>
            </a:ln>
          </c:spPr>
          <c:invertIfNegative val="0"/>
          <c:dLbls>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0-6 months</c:v>
                </c:pt>
                <c:pt idx="1">
                  <c:v>7-12 months</c:v>
                </c:pt>
                <c:pt idx="2">
                  <c:v>13-18 months</c:v>
                </c:pt>
                <c:pt idx="3">
                  <c:v>19-24 months</c:v>
                </c:pt>
                <c:pt idx="4">
                  <c:v>25 months +</c:v>
                </c:pt>
              </c:strCache>
            </c:strRef>
          </c:cat>
          <c:val>
            <c:numRef>
              <c:f>2</c:f>
              <c:numCache>
                <c:formatCode>General</c:formatCode>
                <c:ptCount val="5"/>
                <c:pt idx="0">
                  <c:v>66</c:v>
                </c:pt>
                <c:pt idx="1">
                  <c:v>23</c:v>
                </c:pt>
                <c:pt idx="2">
                  <c:v>14</c:v>
                </c:pt>
                <c:pt idx="3">
                  <c:v>10</c:v>
                </c:pt>
                <c:pt idx="4">
                  <c:v>19</c:v>
                </c:pt>
              </c:numCache>
            </c:numRef>
          </c:val>
        </c:ser>
        <c:gapWidth val="150"/>
        <c:overlap val="0"/>
        <c:axId val="44036130"/>
        <c:axId val="45802177"/>
      </c:barChart>
      <c:catAx>
        <c:axId val="44036130"/>
        <c:scaling>
          <c:orientation val="minMax"/>
        </c:scaling>
        <c:delete val="0"/>
        <c:axPos val="b"/>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45802177"/>
        <c:crosses val="autoZero"/>
        <c:auto val="1"/>
        <c:lblAlgn val="ctr"/>
        <c:lblOffset val="100"/>
        <c:noMultiLvlLbl val="0"/>
      </c:catAx>
      <c:valAx>
        <c:axId val="45802177"/>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44036130"/>
        <c:crosses val="autoZero"/>
        <c:crossBetween val="between"/>
      </c:valAx>
      <c:spPr>
        <a:solidFill>
          <a:srgbClr val="ffffff"/>
        </a:solidFill>
        <a:ln w="0">
          <a:noFill/>
        </a:ln>
      </c:spPr>
    </c:plotArea>
    <c:legend>
      <c:legendPos val="r"/>
      <c:overlay val="0"/>
      <c:spPr>
        <a:noFill/>
        <a:ln w="0">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ffc000"/>
              </a:solidFill>
              <a:ln w="19080">
                <a:solidFill>
                  <a:srgbClr val="ffffff"/>
                </a:solidFill>
                <a:round/>
              </a:ln>
            </c:spPr>
          </c:dPt>
          <c:dPt>
            <c:idx val="4"/>
            <c:spPr>
              <a:solidFill>
                <a:srgbClr val="4bacc6"/>
              </a:solidFill>
              <a:ln w="19080">
                <a:solidFill>
                  <a:srgbClr val="ffffff"/>
                </a:solidFill>
                <a:round/>
              </a:ln>
            </c:spPr>
          </c:dPt>
          <c:dLbls>
            <c:numFmt formatCode="General" sourceLinked="0"/>
            <c:dLbl>
              <c:idx val="0"/>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4</a:t>
                    </a:r>
                    <a:r>
                      <a:rPr b="0" sz="1300" spc="-1" strike="noStrike">
                        <a:latin typeface="Arial"/>
                      </a:rPr>
                      <a:t> (</a:t>
                    </a:r>
                    <a:r>
                      <a:rPr b="0" sz="1300" spc="-1" strike="noStrike">
                        <a:latin typeface="Arial"/>
                      </a:rPr>
                      <a:t>400%</a:t>
                    </a:r>
                    <a:r>
                      <a:rPr b="0" sz="1300" spc="-1" strike="noStrike">
                        <a:latin typeface="Arial"/>
                      </a:rPr>
                      <a:t>)</a:t>
                    </a:r>
                  </a:p>
                </c:rich>
              </c:tx>
              <c:dLblPos val="bestFit"/>
              <c:showLegendKey val="0"/>
              <c:showVal val="1"/>
              <c:showCatName val="0"/>
              <c:showSerName val="0"/>
              <c:showPercent val="1"/>
              <c:separator>; </c:separator>
            </c:dLbl>
            <c:dLbl>
              <c:idx val="1"/>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14</a:t>
                    </a:r>
                    <a:r>
                      <a:rPr b="0" sz="1300" spc="-1" strike="noStrike">
                        <a:latin typeface="Arial"/>
                      </a:rPr>
                      <a:t> (</a:t>
                    </a:r>
                    <a:r>
                      <a:rPr b="0" sz="1300" spc="-1" strike="noStrike">
                        <a:latin typeface="Arial"/>
                      </a:rPr>
                      <a:t>1400%</a:t>
                    </a:r>
                    <a:r>
                      <a:rPr b="0" sz="1300" spc="-1" strike="noStrike">
                        <a:latin typeface="Arial"/>
                      </a:rPr>
                      <a:t>)</a:t>
                    </a:r>
                  </a:p>
                </c:rich>
              </c:tx>
              <c:dLblPos val="bestFit"/>
              <c:showLegendKey val="0"/>
              <c:showVal val="1"/>
              <c:showCatName val="0"/>
              <c:showSerName val="0"/>
              <c:showPercent val="1"/>
              <c:separator>; </c:separator>
            </c:dLbl>
            <c:dLbl>
              <c:idx val="2"/>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a:t>
                    </a:r>
                    <a:r>
                      <a:rPr b="0" sz="1300" spc="-1" strike="noStrike">
                        <a:latin typeface="Arial"/>
                      </a:rPr>
                      <a:t> (</a:t>
                    </a:r>
                    <a:r>
                      <a:rPr b="0" sz="1300" spc="-1" strike="noStrike">
                        <a:latin typeface="Arial"/>
                      </a:rPr>
                      <a:t>100%</a:t>
                    </a:r>
                    <a:r>
                      <a:rPr b="0" sz="1300" spc="-1" strike="noStrike">
                        <a:latin typeface="Arial"/>
                      </a:rPr>
                      <a:t>)</a:t>
                    </a:r>
                  </a:p>
                </c:rich>
              </c:tx>
              <c:dLblPos val="bestFit"/>
              <c:showLegendKey val="0"/>
              <c:showVal val="1"/>
              <c:showCatName val="0"/>
              <c:showSerName val="0"/>
              <c:showPercent val="1"/>
              <c:separator>; </c:separator>
            </c:dLbl>
            <c:dLbl>
              <c:idx val="3"/>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19</a:t>
                    </a:r>
                    <a:r>
                      <a:rPr b="0" sz="1300" spc="-1" strike="noStrike">
                        <a:latin typeface="Arial"/>
                      </a:rPr>
                      <a:t> (</a:t>
                    </a:r>
                    <a:r>
                      <a:rPr b="0" sz="1300" spc="-1" strike="noStrike">
                        <a:latin typeface="Arial"/>
                      </a:rPr>
                      <a:t>1900%</a:t>
                    </a:r>
                    <a:r>
                      <a:rPr b="0" sz="1300" spc="-1" strike="noStrike">
                        <a:latin typeface="Arial"/>
                      </a:rPr>
                      <a:t>)</a:t>
                    </a:r>
                  </a:p>
                </c:rich>
              </c:tx>
              <c:dLblPos val="bestFit"/>
              <c:showLegendKey val="0"/>
              <c:showVal val="1"/>
              <c:showCatName val="0"/>
              <c:showSerName val="0"/>
              <c:showPercent val="1"/>
              <c:separator>; </c:separator>
            </c:dLbl>
            <c:dLbl>
              <c:idx val="4"/>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5</a:t>
                    </a:r>
                    <a:r>
                      <a:rPr b="0" sz="1300" spc="-1" strike="noStrike">
                        <a:latin typeface="Arial"/>
                      </a:rPr>
                      <a:t> (</a:t>
                    </a:r>
                    <a:r>
                      <a:rPr b="0" sz="1300" spc="-1" strike="noStrike">
                        <a:latin typeface="Arial"/>
                      </a:rPr>
                      <a:t>500%</a:t>
                    </a:r>
                    <a:r>
                      <a:rPr b="0" sz="1300" spc="-1" strike="noStrike">
                        <a:latin typeface="Arial"/>
                      </a:rPr>
                      <a:t>)</a:t>
                    </a:r>
                  </a:p>
                </c:rich>
              </c:tx>
              <c:dLblPos val="bestFit"/>
              <c:showLegendKey val="0"/>
              <c:showVal val="1"/>
              <c:showCatName val="0"/>
              <c:showSerName val="0"/>
              <c:showPercent val="1"/>
              <c:separator>; </c:separator>
            </c:dLbl>
            <c:txPr>
              <a:bodyPr wrap="square"/>
              <a:lstStyle/>
              <a:p>
                <a:pPr>
                  <a:defRPr b="0" sz="900" spc="-1" strike="noStrike">
                    <a:solidFill>
                      <a:srgbClr val="404040"/>
                    </a:solidFill>
                    <a:latin typeface="Calibri"/>
                  </a:defRPr>
                </a:pPr>
              </a:p>
            </c:txPr>
            <c:dLblPos val="bestFit"/>
            <c:showLegendKey val="0"/>
            <c:showVal val="1"/>
            <c:showCatName val="0"/>
            <c:showSerName val="0"/>
            <c:showPercent val="1"/>
            <c:separator>; </c:separator>
            <c:showLeaderLines val="0"/>
          </c:dLbls>
          <c:cat>
            <c:strRef>
              <c:f>categories</c:f>
              <c:strCache>
                <c:ptCount val="5"/>
                <c:pt idx="0">
                  <c:v>Physical health</c:v>
                </c:pt>
                <c:pt idx="1">
                  <c:v>Mental health</c:v>
                </c:pt>
                <c:pt idx="2">
                  <c:v>Asperger's</c:v>
                </c:pt>
                <c:pt idx="3">
                  <c:v>Capability</c:v>
                </c:pt>
                <c:pt idx="4">
                  <c:v>Conduct</c:v>
                </c:pt>
              </c:strCache>
            </c:strRef>
          </c:cat>
          <c:val>
            <c:numRef>
              <c:f>0</c:f>
              <c:numCache>
                <c:formatCode>General</c:formatCode>
                <c:ptCount val="5"/>
                <c:pt idx="0">
                  <c:v>4</c:v>
                </c:pt>
                <c:pt idx="1">
                  <c:v>14</c:v>
                </c:pt>
                <c:pt idx="2">
                  <c:v>1</c:v>
                </c:pt>
                <c:pt idx="3">
                  <c:v>19</c:v>
                </c:pt>
                <c:pt idx="4">
                  <c:v>5</c:v>
                </c:pt>
              </c:numCache>
            </c:numRef>
          </c:val>
        </c:ser>
        <c:firstSliceAng val="0"/>
      </c:pieChart>
      <c:spPr>
        <a:noFill/>
        <a:ln w="0">
          <a:noFill/>
        </a:ln>
      </c:spPr>
    </c:plotArea>
    <c:legend>
      <c:legendPos val="r"/>
      <c:layout>
        <c:manualLayout>
          <c:xMode val="edge"/>
          <c:yMode val="edge"/>
          <c:x val="0.7875625"/>
          <c:y val="0.223555555555556"/>
          <c:w val="0.195762235139696"/>
          <c:h val="0.659739971107901"/>
        </c:manualLayout>
      </c:layout>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111875"/>
          <c:y val="0.0764444444444444"/>
          <c:w val="0.461125"/>
          <c:h val="0.866333333333333"/>
        </c:manualLayout>
      </c:layout>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00b050"/>
              </a:solidFill>
              <a:ln w="0">
                <a:noFill/>
              </a:ln>
            </c:spPr>
          </c:dPt>
          <c:dPt>
            <c:idx val="1"/>
            <c:spPr>
              <a:solidFill>
                <a:srgbClr val="b3a2c7"/>
              </a:solidFill>
              <a:ln w="0">
                <a:noFill/>
              </a:ln>
            </c:spPr>
          </c:dPt>
          <c:dPt>
            <c:idx val="2"/>
            <c:spPr>
              <a:solidFill>
                <a:srgbClr val="93cddd"/>
              </a:solidFill>
              <a:ln w="0">
                <a:noFill/>
              </a:ln>
            </c:spPr>
          </c:dPt>
          <c:dPt>
            <c:idx val="3"/>
            <c:spPr>
              <a:solidFill>
                <a:srgbClr val="00b0f0"/>
              </a:solidFill>
              <a:ln w="0">
                <a:noFill/>
              </a:ln>
            </c:spPr>
          </c:dPt>
          <c:dPt>
            <c:idx val="4"/>
            <c:spPr>
              <a:solidFill>
                <a:srgbClr val="ffc000"/>
              </a:solidFill>
              <a:ln w="0">
                <a:noFill/>
              </a:ln>
            </c:spPr>
          </c:dPt>
          <c:dPt>
            <c:idx val="5"/>
            <c:spPr>
              <a:solidFill>
                <a:srgbClr val="4f6228"/>
              </a:solidFill>
              <a:ln w="0">
                <a:noFill/>
              </a:ln>
            </c:spPr>
          </c:dPt>
          <c:dPt>
            <c:idx val="6"/>
            <c:spPr>
              <a:solidFill>
                <a:srgbClr val="ff0000"/>
              </a:solidFill>
              <a:ln w="0">
                <a:noFill/>
              </a:ln>
            </c:spPr>
          </c:dPt>
          <c:dLbls>
            <c:numFmt formatCode="0%" sourceLinked="0"/>
            <c:dLbl>
              <c:idx val="0"/>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408  (</a:t>
                    </a:r>
                    <a:r>
                      <a:rPr b="0" sz="1300" spc="-1" strike="noStrike">
                        <a:latin typeface="Arial"/>
                      </a:rPr>
                      <a:t>60%</a:t>
                    </a:r>
                    <a:r>
                      <a:rPr b="0" sz="1300" spc="-1" strike="noStrike">
                        <a:latin typeface="Arial"/>
                      </a:rPr>
                      <a:t>)</a:t>
                    </a:r>
                  </a:p>
                </c:rich>
              </c:tx>
              <c:dLblPos val="bestFit"/>
              <c:showLegendKey val="0"/>
              <c:showVal val="1"/>
              <c:showCatName val="0"/>
              <c:showSerName val="0"/>
              <c:showPercent val="0"/>
              <c:separator>; </c:separator>
            </c:dLbl>
            <c:dLbl>
              <c:idx val="1"/>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65 (</a:t>
                    </a:r>
                    <a:r>
                      <a:rPr b="0" sz="1300" spc="-1" strike="noStrike">
                        <a:latin typeface="Arial"/>
                      </a:rPr>
                      <a:t>10%</a:t>
                    </a:r>
                    <a:r>
                      <a:rPr b="0" sz="1300" spc="-1" strike="noStrike">
                        <a:latin typeface="Arial"/>
                      </a:rPr>
                      <a:t>)</a:t>
                    </a:r>
                  </a:p>
                </c:rich>
              </c:tx>
              <c:dLblPos val="bestFit"/>
              <c:showLegendKey val="0"/>
              <c:showVal val="1"/>
              <c:showCatName val="0"/>
              <c:showSerName val="0"/>
              <c:showPercent val="0"/>
              <c:separator>; </c:separator>
            </c:dLbl>
            <c:dLbl>
              <c:idx val="2"/>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70 (</a:t>
                    </a:r>
                    <a:r>
                      <a:rPr b="0" sz="1300" spc="-1" strike="noStrike">
                        <a:latin typeface="Arial"/>
                      </a:rPr>
                      <a:t>10%</a:t>
                    </a:r>
                    <a:r>
                      <a:rPr b="0" sz="1300" spc="-1" strike="noStrike">
                        <a:latin typeface="Arial"/>
                      </a:rPr>
                      <a:t>)</a:t>
                    </a:r>
                  </a:p>
                </c:rich>
              </c:tx>
              <c:dLblPos val="bestFit"/>
              <c:showLegendKey val="0"/>
              <c:showVal val="1"/>
              <c:showCatName val="0"/>
              <c:showSerName val="0"/>
              <c:showPercent val="0"/>
              <c:separator>; </c:separator>
            </c:dLbl>
            <c:dLbl>
              <c:idx val="3"/>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37 (</a:t>
                    </a:r>
                    <a:r>
                      <a:rPr b="0" sz="1300" spc="-1" strike="noStrike">
                        <a:latin typeface="Arial"/>
                      </a:rPr>
                      <a:t>5%</a:t>
                    </a:r>
                    <a:r>
                      <a:rPr b="0" sz="1300" spc="-1" strike="noStrike">
                        <a:latin typeface="Arial"/>
                      </a:rPr>
                      <a:t>)</a:t>
                    </a:r>
                  </a:p>
                </c:rich>
              </c:tx>
              <c:dLblPos val="bestFit"/>
              <c:showLegendKey val="0"/>
              <c:showVal val="1"/>
              <c:showCatName val="0"/>
              <c:showSerName val="0"/>
              <c:showPercent val="0"/>
              <c:separator>; </c:separator>
            </c:dLbl>
            <c:dLbl>
              <c:idx val="4"/>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53  (</a:t>
                    </a:r>
                    <a:r>
                      <a:rPr b="0" sz="1300" spc="-1" strike="noStrike">
                        <a:latin typeface="Arial"/>
                      </a:rPr>
                      <a:t>8%</a:t>
                    </a:r>
                    <a:r>
                      <a:rPr b="0" sz="1300" spc="-1" strike="noStrike">
                        <a:latin typeface="Arial"/>
                      </a:rPr>
                      <a:t>)</a:t>
                    </a:r>
                  </a:p>
                </c:rich>
              </c:tx>
              <c:dLblPos val="bestFit"/>
              <c:showLegendKey val="0"/>
              <c:showVal val="1"/>
              <c:showCatName val="0"/>
              <c:showSerName val="0"/>
              <c:showPercent val="0"/>
              <c:separator>; </c:separator>
            </c:dLbl>
            <c:dLbl>
              <c:idx val="5"/>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44  (</a:t>
                    </a:r>
                    <a:r>
                      <a:rPr b="0" sz="1300" spc="-1" strike="noStrike">
                        <a:latin typeface="Arial"/>
                      </a:rPr>
                      <a:t>6%</a:t>
                    </a:r>
                    <a:r>
                      <a:rPr b="0" sz="1300" spc="-1" strike="noStrike">
                        <a:latin typeface="Arial"/>
                      </a:rPr>
                      <a:t>)</a:t>
                    </a:r>
                  </a:p>
                </c:rich>
              </c:tx>
              <c:dLblPos val="bestFit"/>
              <c:showLegendKey val="0"/>
              <c:showVal val="1"/>
              <c:showCatName val="0"/>
              <c:showSerName val="0"/>
              <c:showPercent val="0"/>
              <c:separator>; </c:separator>
            </c:dLbl>
            <c:dLbl>
              <c:idx val="6"/>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4  (</a:t>
                    </a:r>
                    <a:r>
                      <a:rPr b="0" sz="1300" spc="-1" strike="noStrike">
                        <a:latin typeface="Arial"/>
                      </a:rPr>
                      <a:t>1%</a:t>
                    </a:r>
                    <a:r>
                      <a:rPr b="0" sz="1300" spc="-1" strike="noStrike">
                        <a:latin typeface="Arial"/>
                      </a:rPr>
                      <a:t>)</a:t>
                    </a:r>
                  </a:p>
                </c:rich>
              </c:tx>
              <c:dLblPos val="bestFit"/>
              <c:showLegendKey val="0"/>
              <c:showVal val="1"/>
              <c:showCatName val="0"/>
              <c:showSerName val="0"/>
              <c:showPercent val="0"/>
              <c:separator>; </c:separator>
            </c:dLbl>
            <c:txPr>
              <a:bodyPr wrap="none"/>
              <a:lstStyle/>
              <a:p>
                <a:pPr>
                  <a:defRPr b="0" sz="1000" spc="-1" strike="noStrike">
                    <a:solidFill>
                      <a:srgbClr val="000000"/>
                    </a:solidFill>
                    <a:latin typeface="Calibri"/>
                  </a:defRPr>
                </a:pPr>
              </a:p>
            </c:txPr>
            <c:dLblPos val="bestFit"/>
            <c:showLegendKey val="0"/>
            <c:showVal val="1"/>
            <c:showCatName val="0"/>
            <c:showSerName val="0"/>
            <c:showPercent val="0"/>
            <c:separator>; </c:separator>
            <c:showLeaderLines val="0"/>
          </c:dLbls>
          <c:cat>
            <c:strRef>
              <c:f>categories</c:f>
              <c:strCache>
                <c:ptCount val="7"/>
                <c:pt idx="0">
                  <c:v>Return to training no concerns</c:v>
                </c:pt>
                <c:pt idx="1">
                  <c:v>Return to Training on going concerns</c:v>
                </c:pt>
                <c:pt idx="2">
                  <c:v>Completed Training</c:v>
                </c:pt>
                <c:pt idx="3">
                  <c:v>Released from training</c:v>
                </c:pt>
                <c:pt idx="4">
                  <c:v>Resigned from training/Post</c:v>
                </c:pt>
                <c:pt idx="5">
                  <c:v>Other -Non engagement/break from training</c:v>
                </c:pt>
                <c:pt idx="6">
                  <c:v>Suicide/death / Other (including trust Dr.)</c:v>
                </c:pt>
              </c:strCache>
            </c:strRef>
          </c:cat>
          <c:val>
            <c:numRef>
              <c:f>0</c:f>
              <c:numCache>
                <c:formatCode>General</c:formatCode>
                <c:ptCount val="7"/>
                <c:pt idx="0">
                  <c:v>0.599118942731278</c:v>
                </c:pt>
                <c:pt idx="1">
                  <c:v>0.0954478707782673</c:v>
                </c:pt>
                <c:pt idx="2">
                  <c:v>0.102790014684288</c:v>
                </c:pt>
                <c:pt idx="3">
                  <c:v>0.0543318649045521</c:v>
                </c:pt>
                <c:pt idx="4">
                  <c:v>0.0778267254038179</c:v>
                </c:pt>
                <c:pt idx="5">
                  <c:v>0.0646108663729809</c:v>
                </c:pt>
                <c:pt idx="6">
                  <c:v>0.00587371512481645</c:v>
                </c:pt>
              </c:numCache>
            </c:numRef>
          </c:val>
        </c:ser>
        <c:firstSliceAng val="0"/>
      </c:pieChart>
      <c:spPr>
        <a:solidFill>
          <a:srgbClr val="ffffff"/>
        </a:solidFill>
        <a:ln w="0">
          <a:noFill/>
        </a:ln>
      </c:spPr>
    </c:plotArea>
    <c:legend>
      <c:legendPos val="r"/>
      <c:layout>
        <c:manualLayout>
          <c:xMode val="edge"/>
          <c:yMode val="edge"/>
          <c:x val="0.469"/>
          <c:y val="0.0335555555555556"/>
          <c:w val="0.501468841802613"/>
          <c:h val="0.930770085565063"/>
        </c:manualLayout>
      </c:layout>
      <c:overlay val="0"/>
      <c:spPr>
        <a:noFill/>
        <a:ln w="0">
          <a:noFill/>
        </a:ln>
      </c:spPr>
      <c:txPr>
        <a:bodyPr/>
        <a:lstStyle/>
        <a:p>
          <a:pPr>
            <a:defRPr b="0" sz="11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Monthly Open Cases 2019-20</a:t>
            </a:r>
          </a:p>
        </c:rich>
      </c:tx>
      <c:overlay val="0"/>
      <c:spPr>
        <a:noFill/>
        <a:ln w="0">
          <a:noFill/>
        </a:ln>
      </c:spPr>
    </c:title>
    <c:autoTitleDeleted val="0"/>
    <c:plotArea>
      <c:barChart>
        <c:barDir val="col"/>
        <c:grouping val="stacked"/>
        <c:varyColors val="0"/>
        <c:ser>
          <c:idx val="0"/>
          <c:order val="0"/>
          <c:tx>
            <c:strRef>
              <c:f>label 0</c:f>
              <c:strCache>
                <c:ptCount val="1"/>
                <c:pt idx="0">
                  <c:v>Case Activity from last financial year</c:v>
                </c:pt>
              </c:strCache>
            </c:strRef>
          </c:tx>
          <c:spPr>
            <a:solidFill>
              <a:srgbClr val="95b3d7"/>
            </a:solidFill>
            <a:ln w="0">
              <a:noFill/>
            </a:ln>
          </c:spPr>
          <c:invertIfNegative val="0"/>
          <c:dLbls>
            <c:numFmt formatCode="General" sourceLinked="0"/>
            <c:txPr>
              <a:bodyPr wrap="square"/>
              <a:lstStyle/>
              <a:p>
                <a:pPr>
                  <a:defRPr b="0" sz="900" spc="-1" strike="noStrike">
                    <a:solidFill>
                      <a:srgbClr val="404040"/>
                    </a:solidFill>
                    <a:latin typeface="Calibri"/>
                  </a:defRPr>
                </a:pPr>
              </a:p>
            </c:txPr>
            <c:dLblPos val="ct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163</c:v>
                </c:pt>
                <c:pt idx="1">
                  <c:v>143</c:v>
                </c:pt>
                <c:pt idx="2">
                  <c:v>126</c:v>
                </c:pt>
                <c:pt idx="3">
                  <c:v>112</c:v>
                </c:pt>
                <c:pt idx="4">
                  <c:v>97</c:v>
                </c:pt>
                <c:pt idx="5">
                  <c:v>83</c:v>
                </c:pt>
                <c:pt idx="6">
                  <c:v>78</c:v>
                </c:pt>
                <c:pt idx="7">
                  <c:v>68</c:v>
                </c:pt>
                <c:pt idx="8">
                  <c:v>53</c:v>
                </c:pt>
                <c:pt idx="9">
                  <c:v>49</c:v>
                </c:pt>
                <c:pt idx="10">
                  <c:v>46</c:v>
                </c:pt>
                <c:pt idx="11">
                  <c:v>44</c:v>
                </c:pt>
              </c:numCache>
            </c:numRef>
          </c:val>
        </c:ser>
        <c:ser>
          <c:idx val="1"/>
          <c:order val="1"/>
          <c:tx>
            <c:strRef>
              <c:f>label 1</c:f>
              <c:strCache>
                <c:ptCount val="1"/>
                <c:pt idx="0">
                  <c:v>New Cases from current financial year </c:v>
                </c:pt>
              </c:strCache>
            </c:strRef>
          </c:tx>
          <c:spPr>
            <a:solidFill>
              <a:srgbClr val="fac090"/>
            </a:solidFill>
            <a:ln w="0">
              <a:noFill/>
            </a:ln>
          </c:spPr>
          <c:invertIfNegative val="0"/>
          <c:dLbls>
            <c:numFmt formatCode="General" sourceLinked="0"/>
            <c:txPr>
              <a:bodyPr wrap="square"/>
              <a:lstStyle/>
              <a:p>
                <a:pPr>
                  <a:defRPr b="0" sz="900" spc="-1" strike="noStrike">
                    <a:solidFill>
                      <a:srgbClr val="404040"/>
                    </a:solidFill>
                    <a:latin typeface="Calibri"/>
                  </a:defRPr>
                </a:pPr>
              </a:p>
            </c:txPr>
            <c:dLblPos val="ct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1</c:f>
              <c:numCache>
                <c:formatCode>General</c:formatCode>
                <c:ptCount val="12"/>
                <c:pt idx="0">
                  <c:v>8</c:v>
                </c:pt>
                <c:pt idx="1">
                  <c:v>14</c:v>
                </c:pt>
                <c:pt idx="2">
                  <c:v>25</c:v>
                </c:pt>
                <c:pt idx="3">
                  <c:v>35</c:v>
                </c:pt>
                <c:pt idx="4">
                  <c:v>42</c:v>
                </c:pt>
                <c:pt idx="5">
                  <c:v>48</c:v>
                </c:pt>
                <c:pt idx="6">
                  <c:v>69</c:v>
                </c:pt>
                <c:pt idx="7">
                  <c:v>81</c:v>
                </c:pt>
                <c:pt idx="8">
                  <c:v>102</c:v>
                </c:pt>
                <c:pt idx="9">
                  <c:v>112</c:v>
                </c:pt>
                <c:pt idx="10">
                  <c:v>119</c:v>
                </c:pt>
                <c:pt idx="11">
                  <c:v>131</c:v>
                </c:pt>
              </c:numCache>
            </c:numRef>
          </c:val>
        </c:ser>
        <c:gapWidth val="150"/>
        <c:overlap val="100"/>
        <c:axId val="53256945"/>
        <c:axId val="81463032"/>
      </c:barChart>
      <c:dateAx>
        <c:axId val="53256945"/>
        <c:scaling>
          <c:orientation val="minMax"/>
        </c:scaling>
        <c:delete val="0"/>
        <c:axPos val="b"/>
        <c:numFmt formatCode="mmm\-yy" sourceLinked="0"/>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1463032"/>
        <c:crosses val="autoZero"/>
        <c:auto val="1"/>
        <c:lblOffset val="100"/>
        <c:noMultiLvlLbl val="0"/>
      </c:dateAx>
      <c:valAx>
        <c:axId val="8146303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53256945"/>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4f81bd"/>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CM &amp; SSG Trainee Time</a:t>
            </a:r>
          </a:p>
        </c:rich>
      </c:tx>
      <c:overlay val="0"/>
      <c:spPr>
        <a:noFill/>
        <a:ln w="0">
          <a:noFill/>
        </a:ln>
      </c:spPr>
    </c:title>
    <c:autoTitleDeleted val="0"/>
    <c:plotArea>
      <c:lineChart>
        <c:grouping val="standard"/>
        <c:varyColors val="0"/>
        <c:ser>
          <c:idx val="0"/>
          <c:order val="0"/>
          <c:tx>
            <c:strRef>
              <c:f>label 0</c:f>
              <c:strCache>
                <c:ptCount val="1"/>
                <c:pt idx="0">
                  <c:v>Total Time</c:v>
                </c:pt>
              </c:strCache>
            </c:strRef>
          </c:tx>
          <c:spPr>
            <a:solidFill>
              <a:srgbClr val="4f81bd"/>
            </a:solidFill>
            <a:ln w="28440">
              <a:solidFill>
                <a:srgbClr val="4f81bd"/>
              </a:solidFill>
              <a:round/>
            </a:ln>
          </c:spPr>
          <c:marker>
            <c:symbol val="none"/>
          </c:marker>
          <c:dLbls>
            <c:numFmt formatCode="[h]:mm"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2.77083333333333</c:v>
                </c:pt>
                <c:pt idx="1">
                  <c:v>3.21041666666667</c:v>
                </c:pt>
                <c:pt idx="2">
                  <c:v>1.8875</c:v>
                </c:pt>
                <c:pt idx="3">
                  <c:v>3.9625</c:v>
                </c:pt>
                <c:pt idx="4">
                  <c:v>1.41319444444444</c:v>
                </c:pt>
                <c:pt idx="5">
                  <c:v>2.51388888888889</c:v>
                </c:pt>
                <c:pt idx="6">
                  <c:v>2.84722222222222</c:v>
                </c:pt>
                <c:pt idx="7">
                  <c:v>2.60555555555556</c:v>
                </c:pt>
                <c:pt idx="8">
                  <c:v>2.69791666666667</c:v>
                </c:pt>
                <c:pt idx="9">
                  <c:v>3.66041666666667</c:v>
                </c:pt>
                <c:pt idx="10">
                  <c:v>3.08541666666667</c:v>
                </c:pt>
                <c:pt idx="11">
                  <c:v>2.78611111111111</c:v>
                </c:pt>
              </c:numCache>
            </c:numRef>
          </c:val>
          <c:smooth val="0"/>
        </c:ser>
        <c:hiLowLines>
          <c:spPr>
            <a:ln w="0">
              <a:noFill/>
            </a:ln>
          </c:spPr>
        </c:hiLowLines>
        <c:marker val="0"/>
        <c:axId val="52323270"/>
        <c:axId val="5449738"/>
      </c:lineChart>
      <c:dateAx>
        <c:axId val="52323270"/>
        <c:scaling>
          <c:orientation val="minMax"/>
        </c:scaling>
        <c:delete val="0"/>
        <c:axPos val="b"/>
        <c:numFmt formatCode="mmm\-yy" sourceLinked="0"/>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5449738"/>
        <c:crosses val="autoZero"/>
        <c:auto val="1"/>
        <c:lblOffset val="100"/>
        <c:noMultiLvlLbl val="0"/>
      </c:dateAx>
      <c:valAx>
        <c:axId val="5449738"/>
        <c:scaling>
          <c:orientation val="minMax"/>
        </c:scaling>
        <c:delete val="0"/>
        <c:axPos val="l"/>
        <c:majorGridlines>
          <c:spPr>
            <a:ln w="9360">
              <a:solidFill>
                <a:srgbClr val="d9d9d9"/>
              </a:solidFill>
              <a:round/>
            </a:ln>
          </c:spPr>
        </c:majorGridlines>
        <c:numFmt formatCode="[h]:mm"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52323270"/>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Total Trainee Cost</a:t>
            </a:r>
          </a:p>
        </c:rich>
      </c:tx>
      <c:overlay val="0"/>
      <c:spPr>
        <a:noFill/>
        <a:ln w="0">
          <a:noFill/>
        </a:ln>
      </c:spPr>
    </c:title>
    <c:autoTitleDeleted val="0"/>
    <c:plotArea>
      <c:layout>
        <c:manualLayout>
          <c:layoutTarget val="inner"/>
          <c:xMode val="edge"/>
          <c:yMode val="edge"/>
          <c:x val="0.0549375"/>
          <c:y val="0.182222222222222"/>
          <c:w val="0.919"/>
          <c:h val="0.695444444444444"/>
        </c:manualLayout>
      </c:layout>
      <c:lineChart>
        <c:grouping val="standard"/>
        <c:varyColors val="0"/>
        <c:ser>
          <c:idx val="0"/>
          <c:order val="0"/>
          <c:tx>
            <c:strRef>
              <c:f>label 0</c:f>
              <c:strCache>
                <c:ptCount val="1"/>
                <c:pt idx="0">
                  <c:v>Trainee costs</c:v>
                </c:pt>
              </c:strCache>
            </c:strRef>
          </c:tx>
          <c:spPr>
            <a:solidFill>
              <a:srgbClr val="4f81bd"/>
            </a:solidFill>
            <a:ln w="19080">
              <a:solidFill>
                <a:srgbClr val="4f81bd"/>
              </a:solidFill>
              <a:round/>
            </a:ln>
          </c:spPr>
          <c:marker>
            <c:symbol val="none"/>
          </c:marker>
          <c:dLbls>
            <c:numFmt formatCode="\£#,##0.00"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6963.57</c:v>
                </c:pt>
                <c:pt idx="1">
                  <c:v>8027.01</c:v>
                </c:pt>
                <c:pt idx="2">
                  <c:v>4845.3</c:v>
                </c:pt>
                <c:pt idx="3">
                  <c:v>10235.08</c:v>
                </c:pt>
                <c:pt idx="4">
                  <c:v>3624.17</c:v>
                </c:pt>
                <c:pt idx="5">
                  <c:v>6594.7</c:v>
                </c:pt>
                <c:pt idx="6">
                  <c:v>7149.47</c:v>
                </c:pt>
                <c:pt idx="7">
                  <c:v>6468.22</c:v>
                </c:pt>
                <c:pt idx="8">
                  <c:v>7198.21</c:v>
                </c:pt>
                <c:pt idx="9">
                  <c:v>9690.61</c:v>
                </c:pt>
                <c:pt idx="10">
                  <c:v>7900.15</c:v>
                </c:pt>
                <c:pt idx="11">
                  <c:v>6926.56</c:v>
                </c:pt>
              </c:numCache>
            </c:numRef>
          </c:val>
          <c:smooth val="0"/>
        </c:ser>
        <c:hiLowLines>
          <c:spPr>
            <a:ln w="0">
              <a:noFill/>
            </a:ln>
          </c:spPr>
        </c:hiLowLines>
        <c:marker val="0"/>
        <c:axId val="36712440"/>
        <c:axId val="40279994"/>
      </c:lineChart>
      <c:dateAx>
        <c:axId val="36712440"/>
        <c:scaling>
          <c:orientation val="minMax"/>
        </c:scaling>
        <c:delete val="0"/>
        <c:axPos val="b"/>
        <c:majorGridlines>
          <c:spPr>
            <a:ln w="9360">
              <a:solidFill>
                <a:srgbClr val="d9d9d9"/>
              </a:solidFill>
              <a:round/>
            </a:ln>
          </c:spPr>
        </c:majorGridlines>
        <c:numFmt formatCode="mmm\-yy"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40279994"/>
        <c:crosses val="autoZero"/>
        <c:auto val="1"/>
        <c:lblOffset val="100"/>
        <c:noMultiLvlLbl val="0"/>
      </c:dateAx>
      <c:valAx>
        <c:axId val="40279994"/>
        <c:scaling>
          <c:orientation val="minMax"/>
        </c:scaling>
        <c:delete val="0"/>
        <c:axPos val="l"/>
        <c:majorGridlines>
          <c:spPr>
            <a:ln w="9360">
              <a:solidFill>
                <a:srgbClr val="d9d9d9"/>
              </a:solidFill>
              <a:round/>
            </a:ln>
          </c:spPr>
        </c:majorGridlines>
        <c:numFmt formatCode="\£#,##0.00"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36712440"/>
        <c:crosses val="autoZero"/>
        <c:crossBetween val="between"/>
      </c:valAx>
      <c:spPr>
        <a:noFill/>
        <a:ln w="0">
          <a:noFill/>
        </a:ln>
      </c:spPr>
    </c:plotArea>
    <c:plotVisOnly val="0"/>
    <c:dispBlanksAs val="span"/>
  </c:chart>
  <c:spPr>
    <a:solidFill>
      <a:srgbClr val="ffffff"/>
    </a:solidFill>
    <a:ln w="9360">
      <a:solidFill>
        <a:srgbClr val="d9d9d9"/>
      </a:solidFill>
      <a:round/>
    </a:ln>
  </c:spPr>
</c:chartSpac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a3bd0e-c84d-4571-a774-590e0a354a6f}"/>
      </w:docPartPr>
      <w:docPartBody>
        <w:p w14:paraId="67FC7B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Comments xmlns="7344eb13-b7fc-4542-92c6-af233f25da65" xsi:nil="true"/>
    <SharedWithUsers xmlns="6f06f6b7-3e69-401d-837d-97442523fb15">
      <UserInfo>
        <DisplayName>Paul Sadler</DisplayName>
        <AccountId>198</AccountId>
        <AccountType/>
      </UserInfo>
      <UserInfo>
        <DisplayName>Denise Cope</DisplayName>
        <AccountId>199</AccountId>
        <AccountType/>
      </UserInfo>
      <UserInfo>
        <DisplayName>Mike Masding</DisplayName>
        <AccountId>200</AccountId>
        <AccountType/>
      </UserInfo>
      <UserInfo>
        <DisplayName>Rachel Elliott</DisplayName>
        <AccountId>175</AccountId>
        <AccountType/>
      </UserInfo>
      <UserInfo>
        <DisplayName>Jennifer Dolman</DisplayName>
        <AccountId>201</AccountId>
        <AccountType/>
      </UserInfo>
      <UserInfo>
        <DisplayName>Fatima El-Bakri</DisplayName>
        <AccountId>193</AccountId>
        <AccountType/>
      </UserInfo>
      <UserInfo>
        <DisplayName>Philip Rushton</DisplayName>
        <AccountId>202</AccountId>
        <AccountType/>
      </UserInfo>
      <UserInfo>
        <DisplayName>Jo Stevens</DisplayName>
        <AccountId>203</AccountId>
        <AccountType/>
      </UserInfo>
      <UserInfo>
        <DisplayName>Hilary Swales</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7DAA760C023D4DA9F2595E46883B93" ma:contentTypeVersion="14" ma:contentTypeDescription="Create a new document." ma:contentTypeScope="" ma:versionID="0851fd464ac30596ddeda4e2632fe7e5">
  <xsd:schema xmlns:xsd="http://www.w3.org/2001/XMLSchema" xmlns:xs="http://www.w3.org/2001/XMLSchema" xmlns:p="http://schemas.microsoft.com/office/2006/metadata/properties" xmlns:ns2="7344eb13-b7fc-4542-92c6-af233f25da65" xmlns:ns3="6f06f6b7-3e69-401d-837d-97442523fb15" targetNamespace="http://schemas.microsoft.com/office/2006/metadata/properties" ma:root="true" ma:fieldsID="2161b1eb4d50ffdafef1cf30bc711f90" ns2:_="" ns3:_="">
    <xsd:import namespace="7344eb13-b7fc-4542-92c6-af233f25da65"/>
    <xsd:import namespace="6f06f6b7-3e69-401d-837d-97442523fb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Comment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44eb13-b7fc-4542-92c6-af233f25d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s" ma:index="16" nillable="true" ma:displayName="Comments" ma:description="For Tonia's use" ma:format="Dropdown" ma:internalName="Comments">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06f6b7-3e69-401d-837d-97442523fb1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9AE166-AA46-494E-B33B-9039DC4E7B8E}">
  <ds:schemaRefs>
    <ds:schemaRef ds:uri="http://schemas.openxmlformats.org/officeDocument/2006/bibliography"/>
  </ds:schemaRefs>
</ds:datastoreItem>
</file>

<file path=customXml/itemProps2.xml><?xml version="1.0" encoding="utf-8"?>
<ds:datastoreItem xmlns:ds="http://schemas.openxmlformats.org/officeDocument/2006/customXml" ds:itemID="{6DD7A290-60AF-4120-9719-0301DED4A010}">
  <ds:schemaRefs>
    <ds:schemaRef ds:uri="http://schemas.openxmlformats.org/package/2006/metadata/core-properties"/>
    <ds:schemaRef ds:uri="6f06f6b7-3e69-401d-837d-97442523fb15"/>
    <ds:schemaRef ds:uri="http://purl.org/dc/dcmitype/"/>
    <ds:schemaRef ds:uri="7344eb13-b7fc-4542-92c6-af233f25da65"/>
    <ds:schemaRef ds:uri="http://purl.org/dc/elements/1.1/"/>
    <ds:schemaRef ds:uri="http://schemas.microsoft.com/office/2006/documentManagement/types"/>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B6D9A9C-B810-4F9D-B172-30C651316E2A}">
  <ds:schemaRefs>
    <ds:schemaRef ds:uri="http://schemas.microsoft.com/sharepoint/v3/contenttype/forms"/>
  </ds:schemaRefs>
</ds:datastoreItem>
</file>

<file path=customXml/itemProps4.xml><?xml version="1.0" encoding="utf-8"?>
<ds:datastoreItem xmlns:ds="http://schemas.openxmlformats.org/officeDocument/2006/customXml" ds:itemID="{7733B2C1-3790-4E7F-95CF-3D6F4842C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44eb13-b7fc-4542-92c6-af233f25da65"/>
    <ds:schemaRef ds:uri="6f06f6b7-3e69-401d-837d-97442523f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Application>LibreOffice/7.0.0.3$Windows_X86_64 LibreOffice_project/8061b3e9204bef6b321a21033174034a5e2ea88e</Application>
  <Pages>15</Pages>
  <Words>2958</Words>
  <Characters>13559</Characters>
  <CharactersWithSpaces>15750</CharactersWithSpaces>
  <Paragraphs>831</Paragraphs>
  <Company>Health Education England (South)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2020-05-14T01:50:00Z</dcterms:created>
  <dc:creator>Claire Francis</dc:creator>
  <dc:description/>
  <dc:language>es-ES</dc:language>
  <cp:lastModifiedBy/>
  <cp:lastPrinted>2019-04-17T21:58:00Z</cp:lastPrinted>
  <dcterms:modified xsi:type="dcterms:W3CDTF">2020-10-19T15:55:02Z</dcterms:modified>
  <cp:revision>310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Health Education England (South)</vt:lpwstr>
  </property>
  <property fmtid="{D5CDD505-2E9C-101B-9397-08002B2CF9AE}" pid="4" name="ComplianceAssetId">
    <vt:lpwstr/>
  </property>
  <property fmtid="{D5CDD505-2E9C-101B-9397-08002B2CF9AE}" pid="5" name="ContentTypeId">
    <vt:lpwstr>0x010100467DAA760C023D4DA9F2595E46883B93</vt:lpwstr>
  </property>
  <property fmtid="{D5CDD505-2E9C-101B-9397-08002B2CF9AE}" pid="6" name="DocSecurity">
    <vt:i4>4</vt:i4>
  </property>
  <property fmtid="{D5CDD505-2E9C-101B-9397-08002B2CF9AE}" pid="7" name="HyperlinksChanged">
    <vt:bool>0</vt:bool>
  </property>
  <property fmtid="{D5CDD505-2E9C-101B-9397-08002B2CF9AE}" pid="8" name="LinksUpToDate">
    <vt:bool>0</vt:bool>
  </property>
  <property fmtid="{D5CDD505-2E9C-101B-9397-08002B2CF9AE}" pid="9" name="Order">
    <vt:i4>2500</vt:i4>
  </property>
  <property fmtid="{D5CDD505-2E9C-101B-9397-08002B2CF9AE}" pid="10" name="ScaleCrop">
    <vt:bool>0</vt:bool>
  </property>
  <property fmtid="{D5CDD505-2E9C-101B-9397-08002B2CF9AE}" pid="11" name="ShareDoc">
    <vt:bool>0</vt:bool>
  </property>
  <property fmtid="{D5CDD505-2E9C-101B-9397-08002B2CF9AE}" pid="12" name="TemplateUrl">
    <vt:lpwstr/>
  </property>
  <property fmtid="{D5CDD505-2E9C-101B-9397-08002B2CF9AE}" pid="13" name="xd_ProgID">
    <vt:lpwstr/>
  </property>
  <property fmtid="{D5CDD505-2E9C-101B-9397-08002B2CF9AE}" pid="14" name="xd_Signature">
    <vt:bool>0</vt:bool>
  </property>
</Properties>
</file>