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0"/>
      </w:pPr>
      <w:r>
        <w:t xml:space="preserve"/>
      </w:r>
    </w:p>
    <w:p>
      <w:pPr>
        <w:spacing w:after="40"/>
        <w:jc w:val="center"/>
      </w:pPr>
      <w:r>
        <w:rPr>
          <w:rFonts w:ascii="Arial" w:cs="Arial" w:eastAsia="Arial" w:hAnsi="Arial"/>
          <w:b/>
          <w:bCs/>
          <w:color w:val="1F4E79"/>
          <w:sz w:val="80"/>
          <w:szCs w:val="80"/>
        </w:rPr>
        <w:t xml:space="preserve">SMART X</w:t>
      </w:r>
    </w:p>
    <w:p>
      <w:pPr>
        <w:spacing w:after="100"/>
        <w:jc w:val="center"/>
      </w:pPr>
      <w:r>
        <w:rPr>
          <w:rFonts w:ascii="Arial" w:cs="Arial" w:eastAsia="Arial" w:hAnsi="Arial"/>
          <w:color w:val="2E75B6"/>
          <w:sz w:val="32"/>
          <w:szCs w:val="32"/>
        </w:rPr>
        <w:t xml:space="preserve">Flujo Lógico Completo del Sistema</w:t>
      </w:r>
    </w:p>
    <w:p>
      <w:pPr>
        <w:pBdr>
          <w:top w:val="single" w:color="2E75B6" w:sz="6"/>
          <w:bottom w:val="single" w:color="2E75B6" w:sz="6"/>
        </w:pBdr>
        <w:spacing w:before="80" w:after="80"/>
        <w:jc w:val="center"/>
      </w:pPr>
      <w:r>
        <w:rPr>
          <w:rFonts w:ascii="Arial" w:cs="Arial" w:eastAsia="Arial" w:hAnsi="Arial"/>
          <w:i/>
          <w:iCs/>
          <w:color w:val="555555"/>
          <w:sz w:val="22"/>
          <w:szCs w:val="22"/>
        </w:rPr>
        <w:t xml:space="preserve">Arquitectura de Interacción Paciente · IA · Médico  |  Versión para Diagramación</w:t>
      </w:r>
    </w:p>
    <w:p>
      <w:pPr>
        <w:spacing w:before="80" w:after="0"/>
      </w:pPr>
      <w:r>
        <w:t xml:space="preserve"/>
      </w:r>
    </w:p>
    <w:p>
      <w:pPr>
        <w:jc w:val="center"/>
      </w:pPr>
      <w:r>
        <w:rPr>
          <w:rFonts w:ascii="Arial" w:cs="Arial" w:eastAsia="Arial" w:hAnsi="Arial"/>
          <w:color w:val="888888"/>
          <w:sz w:val="20"/>
          <w:szCs w:val="20"/>
        </w:rPr>
        <w:t xml:space="preserve">Compatible con Draw.io · Lucidchart · Canva · Miro</w:t>
      </w:r>
    </w:p>
    <w:p>
      <w:pPr>
        <w:spacing w:before="500" w:after="0"/>
      </w:pPr>
      <w:r>
        <w:t xml:space="preserve"/>
      </w:r>
    </w:p>
    <w:p>
      <w:r>
        <w:br w:type="page"/>
      </w:r>
    </w:p>
    <w:p>
      <w:pPr>
        <w:pStyle w:val="Heading1"/>
        <w:spacing w:before="340" w:after="140"/>
      </w:pPr>
      <w:r>
        <w:rPr>
          <w:rFonts w:ascii="Arial" w:cs="Arial" w:eastAsia="Arial" w:hAnsi="Arial"/>
          <w:b/>
          <w:bCs/>
          <w:color w:val="1F4E79"/>
          <w:sz w:val="32"/>
          <w:szCs w:val="32"/>
        </w:rPr>
        <w:t xml:space="preserve">Resumen del Flujo — 5 Fases</w:t>
      </w:r>
    </w:p>
    <w:p>
      <w:pPr>
        <w:spacing w:before="50" w:after="70"/>
      </w:pPr>
      <w:r>
        <w:rPr>
          <w:rFonts w:ascii="Arial" w:cs="Arial" w:eastAsia="Arial" w:hAnsi="Arial"/>
          <w:sz w:val="21"/>
          <w:szCs w:val="21"/>
        </w:rPr>
        <w:t xml:space="preserve">El sistema Smart X opera como una cadena de responsabilidad dividida en tres actores: el Paciente (captura de datos), la IA (procesamiento y sugerencia), y el Médico (decisión clínica final e ineludible). El diagrama completo sigue este orden macro: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00"/>
        <w:gridCol w:w="4080"/>
        <w:gridCol w:w="2700"/>
      </w:tblGrid>
      <w:tr>
        <w:trPr>
          <w:tblHeader/>
        </w:trPr>
        <w:tc>
          <w:tcPr>
            <w:tcW w:type="dxa" w:w="48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Fase</w:t>
            </w:r>
          </w:p>
        </w:tc>
        <w:tc>
          <w:tcPr>
            <w:tcW w:type="dxa" w:w="21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Nombre</w:t>
            </w:r>
          </w:p>
        </w:tc>
        <w:tc>
          <w:tcPr>
            <w:tcW w:type="dxa" w:w="408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Descripción corta</w:t>
            </w:r>
          </w:p>
        </w:tc>
        <w:tc>
          <w:tcPr>
            <w:tcW w:type="dxa" w:w="27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Actor principal</w:t>
            </w:r>
          </w:p>
        </w:tc>
      </w:tr>
      <w:tr>
        <w:tc>
          <w:tcPr>
            <w:tcW w:type="dxa" w:w="48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Entrada de Datos</w:t>
            </w:r>
          </w:p>
        </w:tc>
        <w:tc>
          <w:tcPr>
            <w:tcW w:type="dxa" w:w="408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paciente interactúa con la app mediante formularios guiados y registro de síntomas.</w:t>
            </w:r>
          </w:p>
        </w:tc>
        <w:tc>
          <w:tcPr>
            <w:tcW w:type="dxa" w:w="27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 Paciente</w:t>
            </w:r>
          </w:p>
        </w:tc>
      </w:tr>
      <w:tr>
        <w:tc>
          <w:tcPr>
            <w:tcW w:type="dxa" w:w="48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Procesamiento por IA</w:t>
            </w:r>
          </w:p>
        </w:tc>
        <w:tc>
          <w:tcPr>
            <w:tcW w:type="dxa" w:w="408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backend estructura el historial clínico y aplica el modelo de clasificación.</w:t>
            </w:r>
          </w:p>
        </w:tc>
        <w:tc>
          <w:tcPr>
            <w:tcW w:type="dxa" w:w="27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 Sistema / IA</w:t>
            </w:r>
          </w:p>
        </w:tc>
      </w:tr>
      <w:tr>
        <w:tc>
          <w:tcPr>
            <w:tcW w:type="dxa" w:w="48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Output del Modelo</w:t>
            </w:r>
          </w:p>
        </w:tc>
        <w:tc>
          <w:tcPr>
            <w:tcW w:type="dxa" w:w="408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sistema genera el semáforo de urgencia y los 3 escenarios clínicos probables.</w:t>
            </w:r>
          </w:p>
        </w:tc>
        <w:tc>
          <w:tcPr>
            <w:tcW w:type="dxa" w:w="27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 Sistema / IA</w:t>
            </w:r>
          </w:p>
        </w:tc>
      </w:tr>
      <w:tr>
        <w:tc>
          <w:tcPr>
            <w:tcW w:type="dxa" w:w="480"/>
            <w:tcBorders>
              <w:top w:val="single" w:color="BDBDBD" w:sz="1"/>
              <w:left w:val="single" w:color="BDBDBD" w:sz="1"/>
              <w:bottom w:val="single" w:color="BDBDBD" w:sz="1"/>
              <w:right w:val="single" w:color="BDBDBD" w:sz="1"/>
            </w:tcBorders>
            <w:shd w:fill="E2EFD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00"/>
            <w:tcBorders>
              <w:top w:val="single" w:color="BDBDBD" w:sz="1"/>
              <w:left w:val="single" w:color="BDBDBD" w:sz="1"/>
              <w:bottom w:val="single" w:color="BDBDBD" w:sz="1"/>
              <w:right w:val="single" w:color="BDBDBD" w:sz="1"/>
            </w:tcBorders>
            <w:shd w:fill="E2EFDA"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Validación Médica</w:t>
            </w:r>
          </w:p>
        </w:tc>
        <w:tc>
          <w:tcPr>
            <w:tcW w:type="dxa" w:w="408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médico revisa, acepta o modifica los escenarios y registra su justificación clínica.</w:t>
            </w:r>
          </w:p>
        </w:tc>
        <w:tc>
          <w:tcPr>
            <w:tcW w:type="dxa" w:w="2700"/>
            <w:tcBorders>
              <w:top w:val="single" w:color="BDBDBD" w:sz="1"/>
              <w:left w:val="single" w:color="BDBDBD" w:sz="1"/>
              <w:bottom w:val="single" w:color="BDBDBD" w:sz="1"/>
              <w:right w:val="single" w:color="BDBDBD"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 Médico</w:t>
            </w:r>
          </w:p>
        </w:tc>
      </w:tr>
      <w:tr>
        <w:tc>
          <w:tcPr>
            <w:tcW w:type="dxa" w:w="480"/>
            <w:tcBorders>
              <w:top w:val="single" w:color="BDBDBD" w:sz="1"/>
              <w:left w:val="single" w:color="BDBDBD" w:sz="1"/>
              <w:bottom w:val="single" w:color="BDBDBD" w:sz="1"/>
              <w:right w:val="single" w:color="BDBDBD" w:sz="1"/>
            </w:tcBorders>
            <w:shd w:fill="FFF9C4"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00"/>
            <w:tcBorders>
              <w:top w:val="single" w:color="BDBDBD" w:sz="1"/>
              <w:left w:val="single" w:color="BDBDBD" w:sz="1"/>
              <w:bottom w:val="single" w:color="BDBDBD" w:sz="1"/>
              <w:right w:val="single" w:color="BDBDBD" w:sz="1"/>
            </w:tcBorders>
            <w:shd w:fill="FFF9C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Retroalimentación</w:t>
            </w:r>
          </w:p>
        </w:tc>
        <w:tc>
          <w:tcPr>
            <w:tcW w:type="dxa" w:w="408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La decisión del médico se registra en el log de auditoría y retroalimenta el modelo.</w:t>
            </w:r>
          </w:p>
        </w:tc>
        <w:tc>
          <w:tcPr>
            <w:tcW w:type="dxa" w:w="2700"/>
            <w:tcBorders>
              <w:top w:val="single" w:color="BDBDBD" w:sz="1"/>
              <w:left w:val="single" w:color="BDBDBD" w:sz="1"/>
              <w:bottom w:val="single" w:color="BDBDBD" w:sz="1"/>
              <w:right w:val="single" w:color="BDBDBD" w:sz="1"/>
            </w:tcBorders>
            <w:shd w:fill="FFF9C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 Sistema + Médico</w:t>
            </w:r>
          </w:p>
        </w:tc>
      </w:tr>
    </w:tbl>
    <w:p>
      <w:pPr>
        <w:spacing w:before="100" w:after="0"/>
      </w:pPr>
      <w:r>
        <w:t xml:space="preserve"/>
      </w:r>
    </w:p>
    <w:p>
      <w:pPr>
        <w:pBdr>
          <w:bottom w:val="single" w:color="2E75B6" w:sz="6" w:space="1"/>
        </w:pBdr>
        <w:spacing w:before="2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FFFF" w:sz="24"/>
              <w:bottom w:val="none"/>
              <w:right w:val="none"/>
            </w:tcBorders>
            <w:shd w:fill="2E75B6" w:val="clear"/>
            <w:tcMar>
              <w:top w:type="dxa" w:w="160"/>
              <w:left w:type="dxa" w:w="240"/>
              <w:bottom w:type="dxa" w:w="160"/>
              <w:right w:type="dxa" w:w="240"/>
            </w:tcMar>
          </w:tcPr>
          <w:p>
            <w:r>
              <w:rPr>
                <w:rFonts w:ascii="Arial" w:cs="Arial" w:eastAsia="Arial" w:hAnsi="Arial"/>
                <w:b/>
                <w:bCs/>
                <w:color w:val="FFFFFF"/>
                <w:sz w:val="18"/>
                <w:szCs w:val="18"/>
              </w:rPr>
              <w:t xml:space="preserve">FASE 1</w:t>
            </w:r>
          </w:p>
          <w:p>
            <w:r>
              <w:rPr>
                <w:rFonts w:ascii="Arial" w:cs="Arial" w:eastAsia="Arial" w:hAnsi="Arial"/>
                <w:b/>
                <w:bCs/>
                <w:color w:val="FFFFFF"/>
                <w:sz w:val="30"/>
                <w:szCs w:val="30"/>
              </w:rPr>
              <w:t xml:space="preserve">Entrada de Datos del Paciente</w:t>
            </w:r>
          </w:p>
          <w:p>
            <w:r>
              <w:rPr>
                <w:rFonts w:ascii="Arial" w:cs="Arial" w:eastAsia="Arial" w:hAnsi="Arial"/>
                <w:i/>
                <w:iCs/>
                <w:color w:val="E3F2FD"/>
                <w:sz w:val="20"/>
                <w:szCs w:val="20"/>
              </w:rPr>
              <w:t xml:space="preserve">Interfaz móvil / kiosco — Captura guiada, validaciones y envío seguro</w:t>
            </w:r>
          </w:p>
        </w:tc>
      </w:tr>
    </w:tbl>
    <w:p>
      <w:pPr>
        <w:spacing w:before="80" w:after="0"/>
      </w:pPr>
      <w:r>
        <w:t xml:space="preserve"/>
      </w:r>
    </w:p>
    <w:p>
      <w:pPr>
        <w:spacing w:before="50" w:after="70"/>
      </w:pPr>
      <w:r>
        <w:rPr>
          <w:rFonts w:ascii="Arial" w:cs="Arial" w:eastAsia="Arial" w:hAnsi="Arial"/>
          <w:sz w:val="21"/>
          <w:szCs w:val="21"/>
        </w:rPr>
        <w:t xml:space="preserve">El paciente accede a Smart X desde la app móvil o una tablet de autoservicio en la unidad médica. La interfaz utiliza un flujo conversacional guiado —no un formulario médico clásico— con lenguaje cotidiano y validaciones en tiempo real.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4200"/>
        <w:gridCol w:w="2440"/>
      </w:tblGrid>
      <w:tr>
        <w:trPr>
          <w:tblHeader/>
        </w:trPr>
        <w:tc>
          <w:tcPr>
            <w:tcW w:type="dxa" w:w="62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1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Elemento</w:t>
            </w:r>
          </w:p>
        </w:tc>
        <w:tc>
          <w:tcPr>
            <w:tcW w:type="dxa" w:w="42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Descripción Técnica / Lógica</w:t>
            </w:r>
          </w:p>
        </w:tc>
        <w:tc>
          <w:tcPr>
            <w:tcW w:type="dxa" w:w="244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Reglas / Validaciones</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1.1</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Autenticación del Paciente</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paciente se identifica mediante su número de seguridad social (NSS) o CURP + fecha de nacimiento. El sistema recupera antecedentes del expediente electrónico si existe.</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NSS o CURP válidos. Si no existe expediente previo, se crea uno nuevo. Máx. 3 intentos.</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1.2</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Selección del Motivo de Consulta</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Pantalla con iconos de categorías: Dolor, Fiebre, Lesión, Malestar general, Control de enfermedad crónica, Otro. El paciente selecciona una o varias.</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Mínimo 1 categoría seleccionada. Si selecciona 'Emergencia grave', se activa alerta inmediata al personal sin continuar el flujo.</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1.3</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Descripción libre de síntomas</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Campo de texto libre donde el paciente describe con sus propias palabras lo que siente. Apoyo con ejemplos contextuales: '¿Desde cuándo? ¿Cómo es el dolor?'</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Mínimo 20 caracteres. Se activa corrector ortográfico y sugerencia de completado para mejorar la calidad del texto de entrada al NLP.</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1.4</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Cuestionario clínico estructurado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Conjunto de preguntas condicionales según la categoría seleccionada. Ejemplo: si seleccionó 'Dolor', se preguntan localización corporal (mapa visual), intensidad EVA (1–10), irradiación, factores que lo mejoran o empeoran.</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Lógica condicional: cada respuesta determina la siguiente pregunta. Máx. 12 preguntas por categoría para no saturar al usuario.</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1.5</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Antecedentes y factores de riesgo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sistema precarga datos del expediente electrónico (alergias, enfermedades crónicas, medicamentos actuales). El paciente confirma o corrige la información.</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Validación de consistencia: si el paciente indica 'sin alergias' pero el expediente registra una, se muestra una alerta de verificación.</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1.6</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Confirmación y envío cifrado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Resumen de toda la información capturada. El paciente confirma que los datos son correctos y da consentimiento informado digital (LFPDPPP). Los datos viajan bajo TLS 1.3 al backend.</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Consentimiento obligatorio antes del envío. Sin aceptación, el sistema no procesa. Se genera un token de sesión único ligado al registro.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4"/>
              <w:left w:val="single" w:color="C00000" w:sz="14"/>
              <w:bottom w:val="single" w:color="C00000" w:sz="4"/>
              <w:right w:val="single" w:color="C00000" w:sz="4"/>
            </w:tcBorders>
            <w:shd w:fill="FCE4D6" w:val="clear"/>
            <w:tcMar>
              <w:top w:type="dxa" w:w="130"/>
              <w:left w:type="dxa" w:w="200"/>
              <w:bottom w:type="dxa" w:w="130"/>
              <w:right w:type="dxa" w:w="200"/>
            </w:tcMar>
          </w:tcPr>
          <w:p>
            <w:pPr>
              <w:spacing w:after="60"/>
            </w:pPr>
            <w:r>
              <w:rPr>
                <w:rFonts w:ascii="Arial" w:cs="Arial" w:eastAsia="Arial" w:hAnsi="Arial"/>
                <w:b/>
                <w:bCs/>
                <w:color w:val="C00000"/>
                <w:sz w:val="22"/>
                <w:szCs w:val="22"/>
              </w:rPr>
              <w:t xml:space="preserve">⚠️  Punto de seguridad crítico — Alerta de Emergencia</w:t>
            </w:r>
          </w:p>
          <w:p>
            <w:r>
              <w:rPr>
                <w:rFonts w:ascii="Arial" w:cs="Arial" w:eastAsia="Arial" w:hAnsi="Arial"/>
                <w:sz w:val="20"/>
                <w:szCs w:val="20"/>
              </w:rPr>
              <w:t xml:space="preserve">Si en el paso 1.2 el paciente indica síntomas de alarma (dolor en el pecho con dificultad para respirar, pérdida de conciencia, sangrado severo), el flujo estándar se interrumpe y el sistema genera una alerta sonora y visual al personal de enfermería. No se espera a que la IA clasifique.</w:t>
            </w:r>
          </w:p>
        </w:tc>
      </w:tr>
    </w:tbl>
    <w:p>
      <w:pPr>
        <w:spacing w:before="100" w:after="0"/>
      </w:pPr>
      <w:r>
        <w:t xml:space="preserve"/>
      </w:r>
    </w:p>
    <w:p>
      <w:pPr>
        <w:pBdr>
          <w:bottom w:val="single" w:color="2E75B6" w:sz="6" w:space="1"/>
        </w:pBdr>
        <w:spacing w:before="2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FFFF" w:sz="24"/>
              <w:bottom w:val="none"/>
              <w:right w:val="none"/>
            </w:tcBorders>
            <w:shd w:fill="006064" w:val="clear"/>
            <w:tcMar>
              <w:top w:type="dxa" w:w="160"/>
              <w:left w:type="dxa" w:w="240"/>
              <w:bottom w:type="dxa" w:w="160"/>
              <w:right w:type="dxa" w:w="240"/>
            </w:tcMar>
          </w:tcPr>
          <w:p>
            <w:r>
              <w:rPr>
                <w:rFonts w:ascii="Arial" w:cs="Arial" w:eastAsia="Arial" w:hAnsi="Arial"/>
                <w:b/>
                <w:bCs/>
                <w:color w:val="FFFFFF"/>
                <w:sz w:val="18"/>
                <w:szCs w:val="18"/>
              </w:rPr>
              <w:t xml:space="preserve">FASE 2</w:t>
            </w:r>
          </w:p>
          <w:p>
            <w:r>
              <w:rPr>
                <w:rFonts w:ascii="Arial" w:cs="Arial" w:eastAsia="Arial" w:hAnsi="Arial"/>
                <w:b/>
                <w:bCs/>
                <w:color w:val="FFFFFF"/>
                <w:sz w:val="30"/>
                <w:szCs w:val="30"/>
              </w:rPr>
              <w:t xml:space="preserve">Procesamiento por el Backend / IA</w:t>
            </w:r>
          </w:p>
          <w:p>
            <w:r>
              <w:rPr>
                <w:rFonts w:ascii="Arial" w:cs="Arial" w:eastAsia="Arial" w:hAnsi="Arial"/>
                <w:i/>
                <w:iCs/>
                <w:color w:val="E3F2FD"/>
                <w:sz w:val="20"/>
                <w:szCs w:val="20"/>
              </w:rPr>
              <w:t xml:space="preserve">Pipeline NLP → Estructuración → Clasificación ML → Explicabilidad SHAP</w:t>
            </w:r>
          </w:p>
        </w:tc>
      </w:tr>
    </w:tbl>
    <w:p>
      <w:pPr>
        <w:spacing w:before="80" w:after="0"/>
      </w:pPr>
      <w:r>
        <w:t xml:space="preserve"/>
      </w:r>
    </w:p>
    <w:p>
      <w:pPr>
        <w:spacing w:before="50" w:after="70"/>
      </w:pPr>
      <w:r>
        <w:rPr>
          <w:rFonts w:ascii="Arial" w:cs="Arial" w:eastAsia="Arial" w:hAnsi="Arial"/>
          <w:sz w:val="21"/>
          <w:szCs w:val="21"/>
        </w:rPr>
        <w:t xml:space="preserve">Una vez recibido el paquete de datos del paciente, el backend ejecuta un pipeline de cinco etapas de forma secuencial. Este proceso es completamente transparente para el médico gracias al módulo de explicabilidad.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4200"/>
        <w:gridCol w:w="2440"/>
      </w:tblGrid>
      <w:tr>
        <w:trPr>
          <w:tblHeader/>
        </w:trPr>
        <w:tc>
          <w:tcPr>
            <w:tcW w:type="dxa" w:w="62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1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Elemento</w:t>
            </w:r>
          </w:p>
        </w:tc>
        <w:tc>
          <w:tcPr>
            <w:tcW w:type="dxa" w:w="42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Descripción Técnica / Lógica</w:t>
            </w:r>
          </w:p>
        </w:tc>
        <w:tc>
          <w:tcPr>
            <w:tcW w:type="dxa" w:w="244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Reglas / Validaciones</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2.1</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Recepción y Saneamiento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API Gateway (FastAPI) recibe el JSON cifrado, verifica el token de sesión, valida la estructura del paquete y lo registra en el log de auditoría con timestamp UTC.</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Rechazo automático si el token es inválido o el paquete está incompleto. Rate limiting activo: máx. 10 registros/min por IP.</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2.2</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Pipeline NLP — Extracción de entidades</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texto libre del paciente pasa por el modelo spaCy + BioBERT ajustado a español médico. Se extraen: síntomas, localizaciones, duración, intensidad, negaciones ('sin náuseas') y modificadores temporales.</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El modelo asigna un nivel de confianza a cada entidad extraída. Entidades con confianza &lt; 0.55 se marcan como 'inciertas' y no alimentan al clasificador principal.</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2.3</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Vectorización y normalización</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Las entidades clínicas extraídas, junto con los datos estructurados del cuestionario y los antecedentes, se convierten en un vector numérico normalizado. Variables categóricas se codifican con One-Hot Encoding.</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El vector resultante tiene dimensión fija. Variables ausentes se imputan con la mediana del dataset de entrenamiento, no con ceros, para evitar sesgos.</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2.4</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Clasificación — Modelo de Urgencia</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vector entra al modelo XGBoost entrenado con datos de triage hospitalario. El modelo produce una probabilidad para cada nivel del semáforo: P(rojo), P(amarillo), P(verde). El nivel con mayor probabilidad se asigna.</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Si la diferencia entre P(rojo) y P(amarillo) es &lt; 0.10, el sistema asigna el nivel más alto por seguridad clínica (conservadurismo médico).</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2.5</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Explicabilidad SHAP</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Para cada clasificación, el módulo SHAP calcula qué variables contribuyeron positiva o negativamente a la decisión. Las 3-5 variables de mayor peso se convierten en texto explicativo en español para mostrarse al médico.</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El texto SHAP usa plantillas clínicas prevalidadas. No se muestran términos técnicos del modelo (no se muestra 'feature importance'). El médico ve: 'Clasificado como ROJO principalmente por: dolor torácico irradiado + edad &gt; 55 + HTA confirmada'.</w:t>
            </w:r>
          </w:p>
        </w:tc>
      </w:tr>
    </w:tbl>
    <w:p>
      <w:pPr>
        <w:spacing w:before="80" w:after="0"/>
      </w:pPr>
      <w:r>
        <w:t xml:space="preserve"/>
      </w:r>
    </w:p>
    <w:p>
      <w:pPr>
        <w:spacing w:before="180" w:after="70"/>
      </w:pPr>
      <w:r>
        <w:rPr>
          <w:rFonts w:ascii="Arial" w:cs="Arial" w:eastAsia="Arial" w:hAnsi="Arial"/>
          <w:b/>
          <w:bCs/>
          <w:color w:val="1F4E79"/>
          <w:sz w:val="22"/>
          <w:szCs w:val="22"/>
        </w:rPr>
        <w:t xml:space="preserve">Tabla de Umbrales del Semáforo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00"/>
        <w:gridCol w:w="1800"/>
        <w:gridCol w:w="2540"/>
        <w:gridCol w:w="3000"/>
      </w:tblGrid>
      <w:tr>
        <w:trPr>
          <w:tblHeader/>
        </w:trPr>
        <w:tc>
          <w:tcPr>
            <w:tcW w:type="dxa" w:w="52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
            </w:r>
          </w:p>
        </w:tc>
        <w:tc>
          <w:tcPr>
            <w:tcW w:type="dxa" w:w="15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Nivel</w:t>
            </w:r>
          </w:p>
        </w:tc>
        <w:tc>
          <w:tcPr>
            <w:tcW w:type="dxa" w:w="18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Score Umbral</w:t>
            </w:r>
          </w:p>
        </w:tc>
        <w:tc>
          <w:tcPr>
            <w:tcW w:type="dxa" w:w="254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Criterios Ejemplo</w:t>
            </w:r>
          </w:p>
        </w:tc>
        <w:tc>
          <w:tcPr>
            <w:tcW w:type="dxa" w:w="30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Tiempo Objetivo</w:t>
            </w:r>
          </w:p>
        </w:tc>
      </w:tr>
      <w:tr>
        <w:tc>
          <w:tcPr>
            <w:tcW w:type="dxa" w:w="520"/>
            <w:tcBorders>
              <w:top w:val="single" w:color="BDBDBD" w:sz="1"/>
              <w:left w:val="single" w:color="BDBDBD" w:sz="1"/>
              <w:bottom w:val="single" w:color="BDBDBD" w:sz="1"/>
              <w:right w:val="single" w:color="BDBDBD" w:sz="1"/>
            </w:tcBorders>
            <w:shd w:fill="FCE4D6" w:val="clear"/>
            <w:tcMar>
              <w:top w:type="dxa" w:w="100"/>
              <w:left w:type="dxa" w:w="140"/>
              <w:bottom w:type="dxa" w:w="100"/>
              <w:right w:type="dxa" w:w="140"/>
            </w:tcMar>
            <w:vAlign w:val="center"/>
          </w:tcPr>
          <w:p>
            <w:pPr>
              <w:jc w:val="center"/>
            </w:pPr>
            <w:r>
              <w:rPr>
                <w:rFonts w:ascii="Arial" w:cs="Arial" w:eastAsia="Arial" w:hAnsi="Arial"/>
                <w:b/>
                <w:bCs/>
                <w:i w:val="false"/>
                <w:iCs w:val="false"/>
                <w:color w:val="FF0000"/>
                <w:sz w:val="32"/>
                <w:szCs w:val="32"/>
              </w:rPr>
              <w:t xml:space="preserve">●</w:t>
            </w:r>
          </w:p>
        </w:tc>
        <w:tc>
          <w:tcPr>
            <w:tcW w:type="dxa" w:w="1500"/>
            <w:tcBorders>
              <w:top w:val="single" w:color="BDBDBD" w:sz="1"/>
              <w:left w:val="single" w:color="BDBDBD" w:sz="1"/>
              <w:bottom w:val="single" w:color="BDBDBD" w:sz="1"/>
              <w:right w:val="single" w:color="BDBDBD" w:sz="1"/>
            </w:tcBorders>
            <w:shd w:fill="FCE4D6"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ROJO</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 0.75</w:t>
            </w:r>
          </w:p>
        </w:tc>
        <w:tc>
          <w:tcPr>
            <w:tcW w:type="dxa" w:w="25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Dolor torácico + disnea + HTA, pérdida de conciencia, signos de sepsis, hemorragia activa</w:t>
            </w:r>
          </w:p>
        </w:tc>
        <w:tc>
          <w:tcPr>
            <w:tcW w:type="dxa" w:w="3000"/>
            <w:tcBorders>
              <w:top w:val="single" w:color="BDBDBD" w:sz="1"/>
              <w:left w:val="single" w:color="BDBDBD" w:sz="1"/>
              <w:bottom w:val="single" w:color="BDBDBD" w:sz="1"/>
              <w:right w:val="single" w:color="BDBDBD" w:sz="1"/>
            </w:tcBorders>
            <w:shd w:fill="FCE4D6"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&lt; 15 min — Alerta inmediata</w:t>
            </w:r>
          </w:p>
        </w:tc>
      </w:tr>
      <w:tr>
        <w:tc>
          <w:tcPr>
            <w:tcW w:type="dxa" w:w="520"/>
            <w:tcBorders>
              <w:top w:val="single" w:color="BDBDBD" w:sz="1"/>
              <w:left w:val="single" w:color="BDBDBD" w:sz="1"/>
              <w:bottom w:val="single" w:color="BDBDBD" w:sz="1"/>
              <w:right w:val="single" w:color="BDBDBD" w:sz="1"/>
            </w:tcBorders>
            <w:shd w:fill="FFF9C4" w:val="clear"/>
            <w:tcMar>
              <w:top w:type="dxa" w:w="100"/>
              <w:left w:type="dxa" w:w="140"/>
              <w:bottom w:type="dxa" w:w="100"/>
              <w:right w:type="dxa" w:w="140"/>
            </w:tcMar>
            <w:vAlign w:val="center"/>
          </w:tcPr>
          <w:p>
            <w:pPr>
              <w:jc w:val="center"/>
            </w:pPr>
            <w:r>
              <w:rPr>
                <w:rFonts w:ascii="Arial" w:cs="Arial" w:eastAsia="Arial" w:hAnsi="Arial"/>
                <w:b/>
                <w:bCs/>
                <w:i w:val="false"/>
                <w:iCs w:val="false"/>
                <w:color w:val="F9A825"/>
                <w:sz w:val="32"/>
                <w:szCs w:val="32"/>
              </w:rPr>
              <w:t xml:space="preserve">●</w:t>
            </w:r>
          </w:p>
        </w:tc>
        <w:tc>
          <w:tcPr>
            <w:tcW w:type="dxa" w:w="1500"/>
            <w:tcBorders>
              <w:top w:val="single" w:color="BDBDBD" w:sz="1"/>
              <w:left w:val="single" w:color="BDBDBD" w:sz="1"/>
              <w:bottom w:val="single" w:color="BDBDBD" w:sz="1"/>
              <w:right w:val="single" w:color="BDBDBD" w:sz="1"/>
            </w:tcBorders>
            <w:shd w:fill="FFF9C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AMARILLO</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0.40–0.74</w:t>
            </w:r>
          </w:p>
        </w:tc>
        <w:tc>
          <w:tcPr>
            <w:tcW w:type="dxa" w:w="25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Fiebre &gt; 38.5°C, EVA ≥ 6, vómito persistente, signos vitales limítrofes, grupos de riesgo</w:t>
            </w:r>
          </w:p>
        </w:tc>
        <w:tc>
          <w:tcPr>
            <w:tcW w:type="dxa" w:w="3000"/>
            <w:tcBorders>
              <w:top w:val="single" w:color="BDBDBD" w:sz="1"/>
              <w:left w:val="single" w:color="BDBDBD" w:sz="1"/>
              <w:bottom w:val="single" w:color="BDBDBD" w:sz="1"/>
              <w:right w:val="single" w:color="BDBDBD" w:sz="1"/>
            </w:tcBorders>
            <w:shd w:fill="FFF9C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&lt; 30 min — Prioridad alta</w:t>
            </w:r>
          </w:p>
        </w:tc>
      </w:tr>
      <w:tr>
        <w:tc>
          <w:tcPr>
            <w:tcW w:type="dxa" w:w="520"/>
            <w:tcBorders>
              <w:top w:val="single" w:color="BDBDBD" w:sz="1"/>
              <w:left w:val="single" w:color="BDBDBD" w:sz="1"/>
              <w:bottom w:val="single" w:color="BDBDBD" w:sz="1"/>
              <w:right w:val="single" w:color="BDBDBD" w:sz="1"/>
            </w:tcBorders>
            <w:shd w:fill="E2EFDA" w:val="clear"/>
            <w:tcMar>
              <w:top w:type="dxa" w:w="100"/>
              <w:left w:type="dxa" w:w="140"/>
              <w:bottom w:type="dxa" w:w="100"/>
              <w:right w:type="dxa" w:w="140"/>
            </w:tcMar>
            <w:vAlign w:val="center"/>
          </w:tcPr>
          <w:p>
            <w:pPr>
              <w:jc w:val="center"/>
            </w:pPr>
            <w:r>
              <w:rPr>
                <w:rFonts w:ascii="Arial" w:cs="Arial" w:eastAsia="Arial" w:hAnsi="Arial"/>
                <w:b/>
                <w:bCs/>
                <w:i w:val="false"/>
                <w:iCs w:val="false"/>
                <w:color w:val="375623"/>
                <w:sz w:val="32"/>
                <w:szCs w:val="32"/>
              </w:rPr>
              <w:t xml:space="preserve">●</w:t>
            </w:r>
          </w:p>
        </w:tc>
        <w:tc>
          <w:tcPr>
            <w:tcW w:type="dxa" w:w="1500"/>
            <w:tcBorders>
              <w:top w:val="single" w:color="BDBDBD" w:sz="1"/>
              <w:left w:val="single" w:color="BDBDBD" w:sz="1"/>
              <w:bottom w:val="single" w:color="BDBDBD" w:sz="1"/>
              <w:right w:val="single" w:color="BDBDBD" w:sz="1"/>
            </w:tcBorders>
            <w:shd w:fill="E2EFDA"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VERDE</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&lt; 0.40</w:t>
            </w:r>
          </w:p>
        </w:tc>
        <w:tc>
          <w:tcPr>
            <w:tcW w:type="dxa" w:w="25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Síntomas leves, control de crónicos, consulta preventiva, seguimiento sin cambio clínico</w:t>
            </w:r>
          </w:p>
        </w:tc>
        <w:tc>
          <w:tcPr>
            <w:tcW w:type="dxa" w:w="3000"/>
            <w:tcBorders>
              <w:top w:val="single" w:color="BDBDBD" w:sz="1"/>
              <w:left w:val="single" w:color="BDBDBD" w:sz="1"/>
              <w:bottom w:val="single" w:color="BDBDBD" w:sz="1"/>
              <w:right w:val="single" w:color="BDBDBD" w:sz="1"/>
            </w:tcBorders>
            <w:shd w:fill="E2EFDA"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&lt; 60 min — Flujo normal</w:t>
            </w:r>
          </w:p>
        </w:tc>
      </w:tr>
    </w:tbl>
    <w:p>
      <w:pPr>
        <w:spacing w:before="100" w:after="0"/>
      </w:pPr>
      <w:r>
        <w:t xml:space="preserve"/>
      </w:r>
    </w:p>
    <w:p>
      <w:pPr>
        <w:pBdr>
          <w:bottom w:val="single" w:color="2E75B6" w:sz="6" w:space="1"/>
        </w:pBdr>
        <w:spacing w:before="2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FFFF" w:sz="24"/>
              <w:bottom w:val="none"/>
              <w:right w:val="none"/>
            </w:tcBorders>
            <w:shd w:fill="0277BD" w:val="clear"/>
            <w:tcMar>
              <w:top w:type="dxa" w:w="160"/>
              <w:left w:type="dxa" w:w="240"/>
              <w:bottom w:type="dxa" w:w="160"/>
              <w:right w:type="dxa" w:w="240"/>
            </w:tcMar>
          </w:tcPr>
          <w:p>
            <w:r>
              <w:rPr>
                <w:rFonts w:ascii="Arial" w:cs="Arial" w:eastAsia="Arial" w:hAnsi="Arial"/>
                <w:b/>
                <w:bCs/>
                <w:color w:val="FFFFFF"/>
                <w:sz w:val="18"/>
                <w:szCs w:val="18"/>
              </w:rPr>
              <w:t xml:space="preserve">FASE 3</w:t>
            </w:r>
          </w:p>
          <w:p>
            <w:r>
              <w:rPr>
                <w:rFonts w:ascii="Arial" w:cs="Arial" w:eastAsia="Arial" w:hAnsi="Arial"/>
                <w:b/>
                <w:bCs/>
                <w:color w:val="FFFFFF"/>
                <w:sz w:val="30"/>
                <w:szCs w:val="30"/>
              </w:rPr>
              <w:t xml:space="preserve">Generación de Sugerencias — Output del Modelo</w:t>
            </w:r>
          </w:p>
          <w:p>
            <w:r>
              <w:rPr>
                <w:rFonts w:ascii="Arial" w:cs="Arial" w:eastAsia="Arial" w:hAnsi="Arial"/>
                <w:i/>
                <w:iCs/>
                <w:color w:val="E3F2FD"/>
                <w:sz w:val="20"/>
                <w:szCs w:val="20"/>
              </w:rPr>
              <w:t xml:space="preserve">3 escenarios clínicos · Especialidad sugerida · Nivel de urgencia</w:t>
            </w:r>
          </w:p>
        </w:tc>
      </w:tr>
    </w:tbl>
    <w:p>
      <w:pPr>
        <w:spacing w:before="80" w:after="0"/>
      </w:pPr>
      <w:r>
        <w:t xml:space="preserve"/>
      </w:r>
    </w:p>
    <w:p>
      <w:pPr>
        <w:spacing w:before="50" w:after="70"/>
      </w:pPr>
      <w:r>
        <w:rPr>
          <w:rFonts w:ascii="Arial" w:cs="Arial" w:eastAsia="Arial" w:hAnsi="Arial"/>
          <w:sz w:val="21"/>
          <w:szCs w:val="21"/>
        </w:rPr>
        <w:t xml:space="preserve">Una vez clasificado el nivel de urgencia, el sistema genera las sugerencias clínicas estructuradas. Estas sugerencias son apoyo informativo para el médico, nunca diagnóstico. El sistema las formula como hipótesis exploratorias.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4200"/>
        <w:gridCol w:w="2440"/>
      </w:tblGrid>
      <w:tr>
        <w:trPr>
          <w:tblHeader/>
        </w:trPr>
        <w:tc>
          <w:tcPr>
            <w:tcW w:type="dxa" w:w="62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1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Elemento</w:t>
            </w:r>
          </w:p>
        </w:tc>
        <w:tc>
          <w:tcPr>
            <w:tcW w:type="dxa" w:w="42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Descripción Técnica / Lógica</w:t>
            </w:r>
          </w:p>
        </w:tc>
        <w:tc>
          <w:tcPr>
            <w:tcW w:type="dxa" w:w="244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Reglas / Validaciones</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3.1</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Generación de escenarios diferenciales</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modelo de diagnóstico diferencial (clasificador multi-etiqueta entrenado con mapeos síntoma→CIE-10) genera las 5 hipótesis de mayor probabilidad. Las 3 principales se seleccionan como escenarios a presentar.</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Los tres escenarios siempre son clínicamente distintos entre sí (sin overlap de CIE-10 a nivel de 3 dígitos). Si los mejores candidatos son variantes de la misma enfermedad, se sube al siguiente nivel de jerarquía.</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3.2</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Asignación de especialidad sugerida</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 cada escenario se le asocia la especialidad médica recomendada según la clasificación de la UMF: Medicina Familiar, Urgencias, Medicina Interna, Cardiología, etc.</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La sugerencia de especialidad está limitada a las disponibles en la unidad médica configurada. El sistema no sugiere especialidades sin cobertura local.</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3.3</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Estructuración del historial clínico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 genera un documento clínico estructurado en formato HL7-FHIR con: motivo de consulta, síntomas sistematizados, antecedentes relevantes, nivel de urgencia y escenarios sugeridos.</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El historial sigue la estructura de la NOM-004-SSA3-2012. Todos los campos tienen fuente trazable al dato original del paciente.</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3.4</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Empaquetado del output para el médico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backend empaqueta: (a) nivel de semáforo con porcentaje de confianza, (b) razón explicativa SHAP en texto natural, (c) 3 escenarios con especialidad, (d) historial clínico HL7-FHIR, y (e) identificador de auditoría único.</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Todo el paquete se firma digitalmente antes de enviarse al panel médico. Cualquier modificación posterior al paquete es detectable y queda registrada.</w:t>
            </w:r>
          </w:p>
        </w:tc>
      </w:tr>
    </w:tbl>
    <w:p>
      <w:pPr>
        <w:spacing w:before="80" w:after="0"/>
      </w:pPr>
      <w:r>
        <w:t xml:space="preserve"/>
      </w:r>
    </w:p>
    <w:p>
      <w:pPr>
        <w:spacing w:before="180" w:after="70"/>
      </w:pPr>
      <w:r>
        <w:rPr>
          <w:rFonts w:ascii="Arial" w:cs="Arial" w:eastAsia="Arial" w:hAnsi="Arial"/>
          <w:b/>
          <w:bCs/>
          <w:color w:val="1F4E79"/>
          <w:sz w:val="22"/>
          <w:szCs w:val="22"/>
        </w:rPr>
        <w:t xml:space="preserve">Estructura visual del Output — Lo que ve el médico en pantalla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2"/>
              <w:left w:val="single" w:color="006064" w:sz="12"/>
              <w:bottom w:val="single" w:color="006064" w:sz="6"/>
              <w:right w:val="single" w:color="006064" w:sz="6"/>
            </w:tcBorders>
            <w:shd w:fill="E0F7FA" w:val="clear"/>
            <w:tcMar>
              <w:top w:type="dxa" w:w="160"/>
              <w:left w:type="dxa" w:w="200"/>
              <w:bottom w:type="dxa" w:w="160"/>
              <w:right w:type="dxa" w:w="200"/>
            </w:tcMar>
          </w:tcPr>
          <w:p>
            <w:pPr>
              <w:spacing w:after="80"/>
            </w:pPr>
            <w:r>
              <w:rPr>
                <w:rFonts w:ascii="Arial" w:cs="Arial" w:eastAsia="Arial" w:hAnsi="Arial"/>
                <w:b/>
                <w:bCs/>
                <w:color w:val="006064"/>
                <w:sz w:val="22"/>
                <w:szCs w:val="22"/>
              </w:rPr>
              <w:t xml:space="preserve">PANEL MÉDICO — Vista del paciente (mockup textual)</w:t>
            </w:r>
          </w:p>
          <w:p>
            <w:pPr>
              <w:spacing w:after="40"/>
            </w:pPr>
            <w:r>
              <w:rPr>
                <w:rFonts w:ascii="Arial" w:cs="Arial" w:eastAsia="Arial" w:hAnsi="Arial"/>
                <w:b/>
                <w:bCs/>
                <w:color w:val="C00000"/>
                <w:sz w:val="28"/>
                <w:szCs w:val="28"/>
              </w:rPr>
              <w:t xml:space="preserve">● ROJO — Urgente  |  Confianza del modelo: 87%</w:t>
            </w:r>
          </w:p>
          <w:p>
            <w:pPr>
              <w:spacing w:after="40"/>
            </w:pPr>
            <w:r>
              <w:rPr>
                <w:rFonts w:ascii="Arial" w:cs="Arial" w:eastAsia="Arial" w:hAnsi="Arial"/>
                <w:i/>
                <w:iCs/>
                <w:color w:val="555555"/>
                <w:sz w:val="20"/>
                <w:szCs w:val="20"/>
              </w:rPr>
              <w:t xml:space="preserve">Razón: Dolor torácico irradiado + duración &lt; 2h + HTA conocida + edad 62 años</w:t>
            </w:r>
          </w:p>
          <w:p>
            <w:pPr>
              <w:spacing w:after="20"/>
            </w:pPr>
            <w:r>
              <w:rPr>
                <w:rFonts w:ascii="Arial" w:cs="Arial" w:eastAsia="Arial" w:hAnsi="Arial"/>
                <w:color w:val="BDBDBD"/>
                <w:sz w:val="18"/>
                <w:szCs w:val="18"/>
              </w:rPr>
              <w:t xml:space="preserve">─────────────────────────────────────────────────</w:t>
            </w:r>
          </w:p>
          <w:p>
            <w:pPr>
              <w:spacing w:after="30"/>
            </w:pPr>
            <w:r>
              <w:rPr>
                <w:rFonts w:ascii="Arial" w:cs="Arial" w:eastAsia="Arial" w:hAnsi="Arial"/>
                <w:b/>
                <w:bCs/>
                <w:color w:val="1F4E79"/>
                <w:sz w:val="20"/>
                <w:szCs w:val="20"/>
              </w:rPr>
              <w:t xml:space="preserve">Escenarios a considerar (apoyo diagnóstico — no reemplaza criterio clínico):</w:t>
            </w:r>
          </w:p>
          <w:p>
            <w:pPr>
              <w:spacing w:after="20"/>
            </w:pPr>
            <w:r>
              <w:rPr>
                <w:rFonts w:ascii="Arial" w:cs="Arial" w:eastAsia="Arial" w:hAnsi="Arial"/>
                <w:sz w:val="20"/>
                <w:szCs w:val="20"/>
              </w:rPr>
              <w:t xml:space="preserve">  ▸ Escenario 1 (68%) — Síndrome Coronario Agudo  →  Urgencias / Cardiología</w:t>
            </w:r>
          </w:p>
          <w:p>
            <w:pPr>
              <w:spacing w:after="20"/>
            </w:pPr>
            <w:r>
              <w:rPr>
                <w:rFonts w:ascii="Arial" w:cs="Arial" w:eastAsia="Arial" w:hAnsi="Arial"/>
                <w:sz w:val="20"/>
                <w:szCs w:val="20"/>
              </w:rPr>
              <w:t xml:space="preserve">  ▸ Escenario 2 (19%) — Disección Aórtica  →  Urgencias</w:t>
            </w:r>
          </w:p>
          <w:p>
            <w:pPr>
              <w:spacing w:after="40"/>
            </w:pPr>
            <w:r>
              <w:rPr>
                <w:rFonts w:ascii="Arial" w:cs="Arial" w:eastAsia="Arial" w:hAnsi="Arial"/>
                <w:sz w:val="20"/>
                <w:szCs w:val="20"/>
              </w:rPr>
              <w:t xml:space="preserve">  ▸ Escenario 3 (13%) — Embolia Pulmonar  →  Medicina Interna / Urgencias</w:t>
            </w:r>
          </w:p>
          <w:p>
            <w:r>
              <w:rPr>
                <w:rFonts w:ascii="Arial" w:cs="Arial" w:eastAsia="Arial" w:hAnsi="Arial"/>
                <w:b/>
                <w:bCs/>
                <w:color w:val="2E75B6"/>
                <w:sz w:val="20"/>
                <w:szCs w:val="20"/>
              </w:rPr>
              <w:t xml:space="preserve">[ Ver historial clínico completo ]  [ Registrar decisión médica ]</w:t>
            </w:r>
          </w:p>
        </w:tc>
      </w:tr>
    </w:tbl>
    <w:p>
      <w:pPr>
        <w:spacing w:before="100" w:after="0"/>
      </w:pPr>
      <w:r>
        <w:t xml:space="preserve"/>
      </w:r>
    </w:p>
    <w:p>
      <w:pPr>
        <w:pBdr>
          <w:bottom w:val="single" w:color="2E75B6" w:sz="6" w:space="1"/>
        </w:pBdr>
        <w:spacing w:before="2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FFFF" w:sz="24"/>
              <w:bottom w:val="none"/>
              <w:right w:val="none"/>
            </w:tcBorders>
            <w:shd w:fill="375623" w:val="clear"/>
            <w:tcMar>
              <w:top w:type="dxa" w:w="160"/>
              <w:left w:type="dxa" w:w="240"/>
              <w:bottom w:type="dxa" w:w="160"/>
              <w:right w:type="dxa" w:w="240"/>
            </w:tcMar>
          </w:tcPr>
          <w:p>
            <w:r>
              <w:rPr>
                <w:rFonts w:ascii="Arial" w:cs="Arial" w:eastAsia="Arial" w:hAnsi="Arial"/>
                <w:b/>
                <w:bCs/>
                <w:color w:val="FFFFFF"/>
                <w:sz w:val="18"/>
                <w:szCs w:val="18"/>
              </w:rPr>
              <w:t xml:space="preserve">FASE 4</w:t>
            </w:r>
          </w:p>
          <w:p>
            <w:r>
              <w:rPr>
                <w:rFonts w:ascii="Arial" w:cs="Arial" w:eastAsia="Arial" w:hAnsi="Arial"/>
                <w:b/>
                <w:bCs/>
                <w:color w:val="FFFFFF"/>
                <w:sz w:val="30"/>
                <w:szCs w:val="30"/>
              </w:rPr>
              <w:t xml:space="preserve">Interfaz y Validación Médica</w:t>
            </w:r>
          </w:p>
          <w:p>
            <w:r>
              <w:rPr>
                <w:rFonts w:ascii="Arial" w:cs="Arial" w:eastAsia="Arial" w:hAnsi="Arial"/>
                <w:i/>
                <w:iCs/>
                <w:color w:val="E3F2FD"/>
                <w:sz w:val="20"/>
                <w:szCs w:val="20"/>
              </w:rPr>
              <w:t xml:space="preserve">Autonomía clínica ineludible · Justificación estructurada · Trazabilidad total</w:t>
            </w:r>
          </w:p>
        </w:tc>
      </w:tr>
    </w:tbl>
    <w:p>
      <w:pPr>
        <w:spacing w:before="80" w:after="0"/>
      </w:pPr>
      <w:r>
        <w:t xml:space="preserve"/>
      </w:r>
    </w:p>
    <w:p>
      <w:pPr>
        <w:spacing w:before="50" w:after="70"/>
      </w:pPr>
      <w:r>
        <w:rPr>
          <w:rFonts w:ascii="Arial" w:cs="Arial" w:eastAsia="Arial" w:hAnsi="Arial"/>
          <w:sz w:val="21"/>
          <w:szCs w:val="21"/>
        </w:rPr>
        <w:t xml:space="preserve">Esta es la fase más crítica del sistema. El médico ejerce su autonomía clínica completa. La IA nunca bloquea ni condiciona la atención. El registro de justificación clínica es obligatorio y retroalimenta el modelo de manera segura.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4200"/>
        <w:gridCol w:w="2440"/>
      </w:tblGrid>
      <w:tr>
        <w:trPr>
          <w:tblHeader/>
        </w:trPr>
        <w:tc>
          <w:tcPr>
            <w:tcW w:type="dxa" w:w="62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1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Elemento</w:t>
            </w:r>
          </w:p>
        </w:tc>
        <w:tc>
          <w:tcPr>
            <w:tcW w:type="dxa" w:w="42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Descripción Técnica / Lógica</w:t>
            </w:r>
          </w:p>
        </w:tc>
        <w:tc>
          <w:tcPr>
            <w:tcW w:type="dxa" w:w="244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Reglas / Validaciones</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4.1</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Recepción en panel médico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médico ve la cola de pacientes del día ordenada por nivel de semáforo (ROJO primero, luego AMARILLO, luego VERDE). El médico puede romper el orden en cualquier momento llamando a cualquier paciente directamente.</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El médico siempre puede llamar a cualquier paciente en cualquier momento. La IA organiza sugerencias de orden, no impone restricciones de atención.</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4.2</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Revisión del historial clínico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médico accede al historial estructurado generado en Fase 3. Ve primero los datos del paciente sin los escenarios IA, para formarse su propia impresión diagnóstica inicial.</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Los escenarios IA están en una sección colapsada inicialmente ('Apoyo Smart X'). El médico debe hacer clic explícitamente para verlos, evitando el efecto de anclaje cognitivo.</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4.3</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Decisión sobre el semáforo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médico indica: (A) Confirmo nivel asignado, o (B) Modifico nivel. Si modifica, debe seleccionar el nuevo nivel antes de continuar.</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Si el médico baja el nivel de ROJO a VERDE, se activa un campo de justificación extendido obligatorio y se genera una notificación de auditoría de alta prioridad.</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4.4</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Decisión sobre los escenarios</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médico selecciona: (A) Confirmo escenario 1, (B) Confirmo escenario 2, (C) Confirmo escenario 3, o (D) Ninguno — mi diagnóstico es diferente. En el caso D, escribe el diagnóstico propio con código CIE-10.</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El campo CIE-10 tiene autocompletado inteligente. Si el médico escribe 'infarto', el sistema sugiere I21.0, I21.1, I22.0, etc.</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4.5</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Justificación clínica estructurada</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Campo obligatorio con cuatro elementos: (1) Hallazgos clínicos observados, (2) Estudios solicitados o realizados, (3) Razón de acuerdo/desacuerdo con la IA, (4) Firma con cédula profesional digital.</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Mínimo 50 caracteres en el campo de hallazgos. La cédula profesional se valida contra el padrón de la Dirección General de Profesiones (SSA). Sin cédula válida, el registro no se puede cerrar.</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4.6</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Cierre del registro y plan de manejo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médico registra el plan: medicación, estudios de laboratorio/imagen, referencia a especialidad, observación hospitalaria o alta. El sistema confirma el cierre del caso con sello digital de tiempo (timestamp UTC).</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El expediente clínico queda cerrado e inmutable. Cualquier modificación posterior genera una nota de corrección separada, nunca sobreescribe el original (NOM-004-SSA3-2012).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4"/>
              <w:left w:val="single" w:color="F9A825" w:sz="14"/>
              <w:bottom w:val="single" w:color="F9A825" w:sz="4"/>
              <w:right w:val="single" w:color="F9A825" w:sz="4"/>
            </w:tcBorders>
            <w:shd w:fill="FFF9C4" w:val="clear"/>
            <w:tcMar>
              <w:top w:type="dxa" w:w="130"/>
              <w:left w:type="dxa" w:w="200"/>
              <w:bottom w:type="dxa" w:w="130"/>
              <w:right w:type="dxa" w:w="200"/>
            </w:tcMar>
          </w:tcPr>
          <w:p>
            <w:pPr>
              <w:spacing w:after="60"/>
            </w:pPr>
            <w:r>
              <w:rPr>
                <w:rFonts w:ascii="Arial" w:cs="Arial" w:eastAsia="Arial" w:hAnsi="Arial"/>
                <w:b/>
                <w:bCs/>
                <w:color w:val="F9A825"/>
                <w:sz w:val="22"/>
                <w:szCs w:val="22"/>
              </w:rPr>
              <w:t xml:space="preserve">🔐  Estructura del Log de Auditoría — Registro inmutable</w:t>
            </w:r>
          </w:p>
          <w:p>
            <w:r>
              <w:rPr>
                <w:rFonts w:ascii="Arial" w:cs="Arial" w:eastAsia="Arial" w:hAnsi="Arial"/>
                <w:sz w:val="20"/>
                <w:szCs w:val="20"/>
              </w:rPr>
              <w:t xml:space="preserve">Cada interacción del médico genera un registro en la tabla de auditoría con: ID de sesión, ID del médico + cédula, timestamp UTC, acción realizada, valor anterior y valor nuevo (si hay modificación), hash SHA-256 del paquete de datos original. Este log es write-only: ningún usuario, ni el administrador, puede modificarlo una vez creado. Se respalda en almacenamiento inmutable cada 15 minutos.</w:t>
            </w:r>
          </w:p>
        </w:tc>
      </w:tr>
    </w:tbl>
    <w:p>
      <w:pPr>
        <w:spacing w:before="100" w:after="0"/>
      </w:pPr>
      <w:r>
        <w:t xml:space="preserve"/>
      </w:r>
    </w:p>
    <w:p>
      <w:pPr>
        <w:pBdr>
          <w:bottom w:val="single" w:color="2E75B6" w:sz="6" w:space="1"/>
        </w:pBdr>
        <w:spacing w:before="2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FFFF" w:sz="24"/>
              <w:bottom w:val="none"/>
              <w:right w:val="none"/>
            </w:tcBorders>
            <w:shd w:fill="4A148C" w:val="clear"/>
            <w:tcMar>
              <w:top w:type="dxa" w:w="160"/>
              <w:left w:type="dxa" w:w="240"/>
              <w:bottom w:type="dxa" w:w="160"/>
              <w:right w:type="dxa" w:w="240"/>
            </w:tcMar>
          </w:tcPr>
          <w:p>
            <w:r>
              <w:rPr>
                <w:rFonts w:ascii="Arial" w:cs="Arial" w:eastAsia="Arial" w:hAnsi="Arial"/>
                <w:b/>
                <w:bCs/>
                <w:color w:val="FFFFFF"/>
                <w:sz w:val="18"/>
                <w:szCs w:val="18"/>
              </w:rPr>
              <w:t xml:space="preserve">FASE 5</w:t>
            </w:r>
          </w:p>
          <w:p>
            <w:r>
              <w:rPr>
                <w:rFonts w:ascii="Arial" w:cs="Arial" w:eastAsia="Arial" w:hAnsi="Arial"/>
                <w:b/>
                <w:bCs/>
                <w:color w:val="FFFFFF"/>
                <w:sz w:val="30"/>
                <w:szCs w:val="30"/>
              </w:rPr>
              <w:t xml:space="preserve">Retroalimentación y Mejora Continua</w:t>
            </w:r>
          </w:p>
          <w:p>
            <w:r>
              <w:rPr>
                <w:rFonts w:ascii="Arial" w:cs="Arial" w:eastAsia="Arial" w:hAnsi="Arial"/>
                <w:i/>
                <w:iCs/>
                <w:color w:val="E3F2FD"/>
                <w:sz w:val="20"/>
                <w:szCs w:val="20"/>
              </w:rPr>
              <w:t xml:space="preserve">Feedback loop médico → modelo · Reentrenamiento controlado · MLflow</w:t>
            </w:r>
          </w:p>
        </w:tc>
      </w:tr>
    </w:tbl>
    <w:p>
      <w:pPr>
        <w:spacing w:before="80" w:after="0"/>
      </w:pPr>
      <w:r>
        <w:t xml:space="preserve"/>
      </w:r>
    </w:p>
    <w:p>
      <w:pPr>
        <w:spacing w:before="50" w:after="70"/>
      </w:pPr>
      <w:r>
        <w:rPr>
          <w:rFonts w:ascii="Arial" w:cs="Arial" w:eastAsia="Arial" w:hAnsi="Arial"/>
          <w:sz w:val="21"/>
          <w:szCs w:val="21"/>
        </w:rPr>
        <w:t xml:space="preserve">Las decisiones médicas documentadas en la Fase 4 son el activo de datos más valioso del sistema. Cada justificación es, en esencia, una etiqueta de entrenamiento validada por un experto clínico.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4200"/>
        <w:gridCol w:w="2440"/>
      </w:tblGrid>
      <w:tr>
        <w:trPr>
          <w:tblHeader/>
        </w:trPr>
        <w:tc>
          <w:tcPr>
            <w:tcW w:type="dxa" w:w="62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1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Elemento</w:t>
            </w:r>
          </w:p>
        </w:tc>
        <w:tc>
          <w:tcPr>
            <w:tcW w:type="dxa" w:w="42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Descripción Técnica / Lógica</w:t>
            </w:r>
          </w:p>
        </w:tc>
        <w:tc>
          <w:tcPr>
            <w:tcW w:type="dxa" w:w="244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Reglas / Validaciones</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5.1</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Captura del evento de retroalimentación</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Cada vez que el médico modifica el nivel de semáforo o elige un escenario diferente al sugerido por la IA, el sistema registra automáticamente el par: [input original del paciente → etiqueta correcta del médico].</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Solo se capturan casos de desacuerdo explícito. Los acuerdos también se registran como confirmaciones, con menor peso de aprendizaje.</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5.2</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Monitoreo de drift del modelo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Mensualmente, el equipo técnico revisa: tasa de desacuerdo médico-modelo, distribución de cambios por nivel (¿el modelo sobre-clasifica ROJO?), y performance en subpoblaciones.</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Si la tasa de desacuerdo supera el 15% mensual o el AUROC cae por debajo de 0.82, se dispara un proceso de reentrenamiento. Si supera el 25%, el sistema entra en modo de solo soporte (sin clasificación automática).</w:t>
            </w:r>
          </w:p>
        </w:tc>
      </w:tr>
      <w:tr>
        <w:tc>
          <w:tcPr>
            <w:tcW w:type="dxa" w:w="62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5.3</w:t>
            </w:r>
          </w:p>
        </w:tc>
        <w:tc>
          <w:tcPr>
            <w:tcW w:type="dxa" w:w="21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Reentrenamiento controlado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nuevo dataset (datos originales + correcciones del médico) se usa para reentrenar el modelo en ambiente de desarrollo. El nuevo modelo se valida con un conjunto de prueba separado antes de aprobarse.</w:t>
            </w:r>
          </w:p>
        </w:tc>
        <w:tc>
          <w:tcPr>
            <w:tcW w:type="dxa" w:w="244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El modelo nuevo debe superar al modelo en producción en al menos 3 métricas clínicas clave: sensibilidad ROJO, especificidad VERDE, y F1 global. MLflow gestiona las versiones y permite rollback en &lt; 5 min.</w:t>
            </w:r>
          </w:p>
        </w:tc>
      </w:tr>
      <w:tr>
        <w:tc>
          <w:tcPr>
            <w:tcW w:type="dxa" w:w="62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5.4</w:t>
            </w:r>
          </w:p>
        </w:tc>
        <w:tc>
          <w:tcPr>
            <w:tcW w:type="dxa" w:w="21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Gobernanza del modelo</w:t>
            </w:r>
          </w:p>
        </w:tc>
        <w:tc>
          <w:tcPr>
            <w:tcW w:type="dxa" w:w="4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Ningún modelo nuevo puede desplegarse a producción sin aprobación formal de al menos un médico con rol de 'Validador Clínico' en el sistema. El médico revisa una muestra de 50 casos de prueba antes de aprobar.</w:t>
            </w:r>
          </w:p>
        </w:tc>
        <w:tc>
          <w:tcPr>
            <w:tcW w:type="dxa" w:w="244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Este paso es no negociable. La automatización completa del despliegue está bloqueada por diseño. La decisión de actualización es humana.</w:t>
            </w:r>
          </w:p>
        </w:tc>
      </w:tr>
    </w:tbl>
    <w:p>
      <w:pPr>
        <w:spacing w:before="100" w:after="0"/>
      </w:pPr>
      <w:r>
        <w:t xml:space="preserve"/>
      </w:r>
    </w:p>
    <w:p>
      <w:r>
        <w:br w:type="page"/>
      </w:r>
    </w:p>
    <w:p>
      <w:pPr>
        <w:pStyle w:val="Heading1"/>
        <w:spacing w:before="340" w:after="140"/>
      </w:pPr>
      <w:r>
        <w:rPr>
          <w:rFonts w:ascii="Arial" w:cs="Arial" w:eastAsia="Arial" w:hAnsi="Arial"/>
          <w:b/>
          <w:bCs/>
          <w:color w:val="1F4E79"/>
          <w:sz w:val="32"/>
          <w:szCs w:val="32"/>
        </w:rPr>
        <w:t xml:space="preserve">Estructura para Draw.io / Lucidchart / Canva</w:t>
      </w:r>
    </w:p>
    <w:p>
      <w:pPr>
        <w:spacing w:before="50" w:after="70"/>
      </w:pPr>
      <w:r>
        <w:rPr>
          <w:rFonts w:ascii="Arial" w:cs="Arial" w:eastAsia="Arial" w:hAnsi="Arial"/>
          <w:sz w:val="21"/>
          <w:szCs w:val="21"/>
        </w:rPr>
        <w:t xml:space="preserve">Usa la siguiente tabla para construir tu diagrama de flujo. Cada fila es una conexión (flecha) en tu herramienta. Las formas recomendadas siguen la leyenda estándar de diagramas de flujo.</w:t>
      </w:r>
    </w:p>
    <w:p>
      <w:pPr>
        <w:spacing w:before="60" w:after="0"/>
      </w:pPr>
      <w:r>
        <w:t xml:space="preserve"/>
      </w:r>
    </w:p>
    <w:p>
      <w:pPr>
        <w:spacing w:before="240" w:after="100"/>
      </w:pPr>
      <w:r>
        <w:rPr>
          <w:rFonts w:ascii="Arial" w:cs="Arial" w:eastAsia="Arial" w:hAnsi="Arial"/>
          <w:b/>
          <w:bCs/>
          <w:color w:val="2E75B6"/>
          <w:sz w:val="26"/>
          <w:szCs w:val="26"/>
        </w:rPr>
        <w:t xml:space="preserve">Leyenda de Formas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Forma</w:t>
            </w:r>
          </w:p>
        </w:tc>
        <w:tc>
          <w:tcPr>
            <w:tcW w:type="dxa" w:w="156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Significado</w:t>
            </w:r>
          </w:p>
        </w:tc>
        <w:tc>
          <w:tcPr>
            <w:tcW w:type="dxa" w:w="156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Forma</w:t>
            </w:r>
          </w:p>
        </w:tc>
        <w:tc>
          <w:tcPr>
            <w:tcW w:type="dxa" w:w="156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Significado</w:t>
            </w:r>
          </w:p>
        </w:tc>
        <w:tc>
          <w:tcPr>
            <w:tcW w:type="dxa" w:w="156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Forma</w:t>
            </w:r>
          </w:p>
        </w:tc>
        <w:tc>
          <w:tcPr>
            <w:tcW w:type="dxa" w:w="156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Significado</w:t>
            </w:r>
          </w:p>
        </w:tc>
      </w:tr>
      <w:tr>
        <w:tc>
          <w:tcPr>
            <w:tcW w:type="dxa" w:w="156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  Rectángulo</w:t>
            </w:r>
          </w:p>
        </w:tc>
        <w:tc>
          <w:tcPr>
            <w:tcW w:type="dxa" w:w="15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Proceso / Acción</w:t>
            </w:r>
          </w:p>
        </w:tc>
        <w:tc>
          <w:tcPr>
            <w:tcW w:type="dxa" w:w="1560"/>
            <w:tcBorders>
              <w:top w:val="single" w:color="BDBDBD" w:sz="1"/>
              <w:left w:val="single" w:color="BDBDBD" w:sz="1"/>
              <w:bottom w:val="single" w:color="BDBDBD" w:sz="1"/>
              <w:right w:val="single" w:color="BDBDBD" w:sz="1"/>
            </w:tcBorders>
            <w:shd w:fill="FFF9C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  Rombo</w:t>
            </w:r>
          </w:p>
        </w:tc>
        <w:tc>
          <w:tcPr>
            <w:tcW w:type="dxa" w:w="15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Decisión (Sí/No)</w:t>
            </w:r>
          </w:p>
        </w:tc>
        <w:tc>
          <w:tcPr>
            <w:tcW w:type="dxa" w:w="1560"/>
            <w:tcBorders>
              <w:top w:val="single" w:color="BDBDBD" w:sz="1"/>
              <w:left w:val="single" w:color="BDBDBD" w:sz="1"/>
              <w:bottom w:val="single" w:color="BDBDBD" w:sz="1"/>
              <w:right w:val="single" w:color="BDBDBD" w:sz="1"/>
            </w:tcBorders>
            <w:shd w:fill="E2EFDA"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  Óvalo</w:t>
            </w:r>
          </w:p>
        </w:tc>
        <w:tc>
          <w:tcPr>
            <w:tcW w:type="dxa" w:w="15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Inicio / Fin</w:t>
            </w:r>
          </w:p>
        </w:tc>
      </w:tr>
      <w:tr>
        <w:tc>
          <w:tcPr>
            <w:tcW w:type="dxa" w:w="15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  Hexágono</w:t>
            </w:r>
          </w:p>
        </w:tc>
        <w:tc>
          <w:tcPr>
            <w:tcW w:type="dxa" w:w="15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Proceso IA / ML</w:t>
            </w:r>
          </w:p>
        </w:tc>
        <w:tc>
          <w:tcPr>
            <w:tcW w:type="dxa" w:w="156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  Cilindro</w:t>
            </w:r>
          </w:p>
        </w:tc>
        <w:tc>
          <w:tcPr>
            <w:tcW w:type="dxa" w:w="15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Base de datos</w:t>
            </w:r>
          </w:p>
        </w:tc>
        <w:tc>
          <w:tcPr>
            <w:tcW w:type="dxa" w:w="1560"/>
            <w:tcBorders>
              <w:top w:val="single" w:color="BDBDBD" w:sz="1"/>
              <w:left w:val="single" w:color="BDBDBD" w:sz="1"/>
              <w:bottom w:val="single" w:color="BDBDBD" w:sz="1"/>
              <w:right w:val="single" w:color="BDBDBD" w:sz="1"/>
            </w:tcBorders>
            <w:shd w:fill="FCE4D6"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  Paralelóg.</w:t>
            </w:r>
          </w:p>
        </w:tc>
        <w:tc>
          <w:tcPr>
            <w:tcW w:type="dxa" w:w="15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Entrada / Salida de datos</w:t>
            </w:r>
          </w:p>
        </w:tc>
      </w:tr>
    </w:tbl>
    <w:p>
      <w:pPr>
        <w:spacing w:before="80" w:after="0"/>
      </w:pPr>
      <w:r>
        <w:t xml:space="preserve"/>
      </w:r>
    </w:p>
    <w:p>
      <w:pPr>
        <w:spacing w:before="240" w:after="100"/>
      </w:pPr>
      <w:r>
        <w:rPr>
          <w:rFonts w:ascii="Arial" w:cs="Arial" w:eastAsia="Arial" w:hAnsi="Arial"/>
          <w:b/>
          <w:bCs/>
          <w:color w:val="2E75B6"/>
          <w:sz w:val="26"/>
          <w:szCs w:val="26"/>
        </w:rPr>
        <w:t xml:space="preserve">Fase 1 — Entrada de Datos (color de nodos: Azul claro)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700"/>
        <w:gridCol w:w="2200"/>
        <w:gridCol w:w="700"/>
        <w:gridCol w:w="2200"/>
        <w:gridCol w:w="1000"/>
      </w:tblGrid>
      <w:tr>
        <w:trPr>
          <w:tblHeader/>
        </w:trPr>
        <w:tc>
          <w:tcPr>
            <w:tcW w:type="dxa" w:w="36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Origen</w:t>
            </w:r>
          </w:p>
        </w:tc>
        <w:tc>
          <w:tcPr>
            <w:tcW w:type="dxa" w:w="7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Acción / Proceso</w:t>
            </w:r>
          </w:p>
        </w:tc>
        <w:tc>
          <w:tcPr>
            <w:tcW w:type="dxa" w:w="7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Destino</w:t>
            </w:r>
          </w:p>
        </w:tc>
        <w:tc>
          <w:tcPr>
            <w:tcW w:type="dxa" w:w="10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Forma</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1.1</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INICIO (Óvalo)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Paciente abre la app Smart X</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Pantalla de bienvenida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Óvalo</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1.2</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Pantalla bienvenida</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Autenticación NSS / CURP + fecha de nac.</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¿Autenticación exitosa?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1.3</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¿Autenticación exitosa?  → 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Error: reintento (máx. 3)</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Pantalla de error / Soporte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1.4</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¿Autenticación exitosa?  → SÍ</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Carga de expediente electrónico previo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Selección de motivo de consulta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1.5</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Selección motivo de consulta</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¿Síntoma de alarma grave?</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¿Emergencia?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1.6</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¿Emergencia?  → SÍ</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Alerta inmediata a personal</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FIN flujo paciente / Atención directa (Óvalo)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1.7</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¿Emergencia?  → 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Flujo de cuestionario guiado condicional</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Descripción libre de síntomas (Paralelóg.)</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1.8</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Descripción libre síntomas</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Cuestionario clínico estructurado (condicional)</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Confirmación de antecedentes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1.9</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Confirmación antecedentes</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Resumen y consentimiento informado digital</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¿Paciente confirma?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1.10</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¿Paciente confirma?  → SÍ</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Envío cifrado TLS 1.3 al backend</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API Gateway — Recepción (Hexágono IA)</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bl>
    <w:p>
      <w:pPr>
        <w:spacing w:before="80" w:after="0"/>
      </w:pPr>
      <w:r>
        <w:t xml:space="preserve"/>
      </w:r>
    </w:p>
    <w:p>
      <w:pPr>
        <w:spacing w:before="240" w:after="100"/>
      </w:pPr>
      <w:r>
        <w:rPr>
          <w:rFonts w:ascii="Arial" w:cs="Arial" w:eastAsia="Arial" w:hAnsi="Arial"/>
          <w:b/>
          <w:bCs/>
          <w:color w:val="2E75B6"/>
          <w:sz w:val="26"/>
          <w:szCs w:val="26"/>
        </w:rPr>
        <w:t xml:space="preserve">Fase 2 — Procesamiento Backend / IA (color de nodos: Verde azulado)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700"/>
        <w:gridCol w:w="2200"/>
        <w:gridCol w:w="700"/>
        <w:gridCol w:w="2200"/>
        <w:gridCol w:w="1000"/>
      </w:tblGrid>
      <w:tr>
        <w:trPr>
          <w:tblHeader/>
        </w:trPr>
        <w:tc>
          <w:tcPr>
            <w:tcW w:type="dxa" w:w="36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Origen</w:t>
            </w:r>
          </w:p>
        </w:tc>
        <w:tc>
          <w:tcPr>
            <w:tcW w:type="dxa" w:w="7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Acción / Proceso</w:t>
            </w:r>
          </w:p>
        </w:tc>
        <w:tc>
          <w:tcPr>
            <w:tcW w:type="dxa" w:w="7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Destino</w:t>
            </w:r>
          </w:p>
        </w:tc>
        <w:tc>
          <w:tcPr>
            <w:tcW w:type="dxa" w:w="10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Forma</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2.1</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API Gateway (Hexágono)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Validación token + registro log auditoría</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¿Paquete válido?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2.2</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¿Paquete válido?  → 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Rechazo con código de error</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Log de error + notificación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2.3</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¿Paquete válido?  → SÍ</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Pipeline NLP — Extracción entidades clínicas</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Entidades extraídas con confianza (Hexágono)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2.4</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Entidades extraídas</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Vectorización + normalización de variables</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Vector numérico normalizado (Hexágono)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2.5</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Vector normalizado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Modelo XGBoost — Clasificación semáforo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P(rojo) / P(amarillo) / P(verde) (Hexágono)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2.6</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Probabilidades del modelo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¿Diferencia P(rojo)-P(amarillo) &lt; 0.10?</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Aplicar conservadurismo médico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2.7</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Conservadurismo → SÍ</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Asignar nivel más alto por seguridad</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Nivel de semáforo final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2.8</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Conservadurismo → 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Asignar nivel de mayor probabilidad</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Nivel de semáforo final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2.9</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Nivel semáforo final</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Módulo SHAP — Cálculo de explicabilidad</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Texto explicativo en español (Hexágono)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bl>
    <w:p>
      <w:pPr>
        <w:spacing w:before="80" w:after="0"/>
      </w:pPr>
      <w:r>
        <w:t xml:space="preserve"/>
      </w:r>
    </w:p>
    <w:p>
      <w:pPr>
        <w:spacing w:before="240" w:after="100"/>
      </w:pPr>
      <w:r>
        <w:rPr>
          <w:rFonts w:ascii="Arial" w:cs="Arial" w:eastAsia="Arial" w:hAnsi="Arial"/>
          <w:b/>
          <w:bCs/>
          <w:color w:val="2E75B6"/>
          <w:sz w:val="26"/>
          <w:szCs w:val="26"/>
        </w:rPr>
        <w:t xml:space="preserve">Fase 3 — Output del Modelo (color de nodos: Azul medio)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700"/>
        <w:gridCol w:w="2200"/>
        <w:gridCol w:w="700"/>
        <w:gridCol w:w="2200"/>
        <w:gridCol w:w="1000"/>
      </w:tblGrid>
      <w:tr>
        <w:trPr>
          <w:tblHeader/>
        </w:trPr>
        <w:tc>
          <w:tcPr>
            <w:tcW w:type="dxa" w:w="36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Origen</w:t>
            </w:r>
          </w:p>
        </w:tc>
        <w:tc>
          <w:tcPr>
            <w:tcW w:type="dxa" w:w="7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Acción / Proceso</w:t>
            </w:r>
          </w:p>
        </w:tc>
        <w:tc>
          <w:tcPr>
            <w:tcW w:type="dxa" w:w="7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Destino</w:t>
            </w:r>
          </w:p>
        </w:tc>
        <w:tc>
          <w:tcPr>
            <w:tcW w:type="dxa" w:w="10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Forma</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3.1</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Texto SHAP + nivel semáforo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Clasificador multi-etiqueta → 3 escenarios CIE-10</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Escenarios clínicos con probabilidad (Hexágono)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3.2</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Escenarios clínicos</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Asignación de especialidad sugerida por escenario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Escenarios + especialidad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3.3</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Escenarios + especialidad</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Generación historial clínico HL7-FHIR</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Historial estructurado (Cilindro BD)</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3.4</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Historial HL7-FHIR</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Empaquetado + firma digital del output</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Paquete firmado para médico (Paralelóg.)</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3.5</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Paquete firmado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Envío al panel médico (API)</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Panel médico — Cola de pacientes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bl>
    <w:p>
      <w:pPr>
        <w:spacing w:before="80" w:after="0"/>
      </w:pPr>
      <w:r>
        <w:t xml:space="preserve"/>
      </w:r>
    </w:p>
    <w:p>
      <w:pPr>
        <w:spacing w:before="240" w:after="100"/>
      </w:pPr>
      <w:r>
        <w:rPr>
          <w:rFonts w:ascii="Arial" w:cs="Arial" w:eastAsia="Arial" w:hAnsi="Arial"/>
          <w:b/>
          <w:bCs/>
          <w:color w:val="2E75B6"/>
          <w:sz w:val="26"/>
          <w:szCs w:val="26"/>
        </w:rPr>
        <w:t xml:space="preserve">Fase 4 — Validación Médica (color de nodos: Verde oscuro)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700"/>
        <w:gridCol w:w="2200"/>
        <w:gridCol w:w="700"/>
        <w:gridCol w:w="2200"/>
        <w:gridCol w:w="1000"/>
      </w:tblGrid>
      <w:tr>
        <w:trPr>
          <w:tblHeader/>
        </w:trPr>
        <w:tc>
          <w:tcPr>
            <w:tcW w:type="dxa" w:w="36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Origen</w:t>
            </w:r>
          </w:p>
        </w:tc>
        <w:tc>
          <w:tcPr>
            <w:tcW w:type="dxa" w:w="7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Acción / Proceso</w:t>
            </w:r>
          </w:p>
        </w:tc>
        <w:tc>
          <w:tcPr>
            <w:tcW w:type="dxa" w:w="7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Destino</w:t>
            </w:r>
          </w:p>
        </w:tc>
        <w:tc>
          <w:tcPr>
            <w:tcW w:type="dxa" w:w="10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Forma</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4.1</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Panel médico — Cola</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Médico selecciona paciente (puede alterar orden)</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Vista historial clínico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4.2</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Vista historial clínico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Médico decide ver escenarios IA (clic explícito)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¿Médico consulta apoyo Smart X?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4.3</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¿Consulta apoyo?  → SÍ</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Muestra 3 escenarios + razón SHAP</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Médico evalúa escenarios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4.4</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¿Consulta apoyo?  → 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Médico trabaja solo con historial clínico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Médico evalúa historial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4.5</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Evaluación médica</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¿Confirma nivel de semáforo de la IA?</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Decisión semáforo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4.6</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¿Confirma semáforo?  → 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Selecciona nuevo nivel + justificación extendida</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Nuevo nivel registrado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4.7</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Decisión semáforo (cualquiera)</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¿Confirma algún escenario IA?</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Decisión escenario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4.8</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¿Confirma escenario?  → 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Escribe diagnóstico propio con CIE-10</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Diagnóstico médico propio (Paralelóg.)</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4.9</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Decisión escenario (cualquiera)</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Captura justificación clínica (4 campos)</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¿Justificación completa?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4.10</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¿Justificación completa?  → 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Sistema bloquea cierre y señala campos faltantes</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Campos faltantes marcados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4.11</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¿Justificación completa?  → SÍ</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Registro de plan de manejo + cédula profesional</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¿Cédula profesional válida?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4.12</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¿Cédula válida?  → SÍ</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Cierre del expediente + sello timestamp UTC</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Expediente cerrado — Log de auditoría (Cilindro)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4.13</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Log de auditoría</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Evento capturado para retroalimentación</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Motor de retroalimentación Fase 5 (Hexágono)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4.14</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Expediente cerrado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FIN del flujo principal</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FIN (Óvalo)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bl>
    <w:p>
      <w:pPr>
        <w:spacing w:before="80" w:after="0"/>
      </w:pPr>
      <w:r>
        <w:t xml:space="preserve"/>
      </w:r>
    </w:p>
    <w:p>
      <w:pPr>
        <w:spacing w:before="240" w:after="100"/>
      </w:pPr>
      <w:r>
        <w:rPr>
          <w:rFonts w:ascii="Arial" w:cs="Arial" w:eastAsia="Arial" w:hAnsi="Arial"/>
          <w:b/>
          <w:bCs/>
          <w:color w:val="2E75B6"/>
          <w:sz w:val="26"/>
          <w:szCs w:val="26"/>
        </w:rPr>
        <w:t xml:space="preserve">Fase 5 — Retroalimentación (color de nodos: Morado)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700"/>
        <w:gridCol w:w="2200"/>
        <w:gridCol w:w="700"/>
        <w:gridCol w:w="2200"/>
        <w:gridCol w:w="1000"/>
      </w:tblGrid>
      <w:tr>
        <w:trPr>
          <w:tblHeader/>
        </w:trPr>
        <w:tc>
          <w:tcPr>
            <w:tcW w:type="dxa" w:w="36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Origen</w:t>
            </w:r>
          </w:p>
        </w:tc>
        <w:tc>
          <w:tcPr>
            <w:tcW w:type="dxa" w:w="7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Acción / Proceso</w:t>
            </w:r>
          </w:p>
        </w:tc>
        <w:tc>
          <w:tcPr>
            <w:tcW w:type="dxa" w:w="7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Destino</w:t>
            </w:r>
          </w:p>
        </w:tc>
        <w:tc>
          <w:tcPr>
            <w:tcW w:type="dxa" w:w="1000"/>
            <w:tcBorders>
              <w:top w:val="single" w:color="BDBDBD" w:sz="1"/>
              <w:left w:val="single" w:color="BDBDBD" w:sz="1"/>
              <w:bottom w:val="single" w:color="BDBDBD" w:sz="1"/>
              <w:right w:val="single" w:color="BDBDBD" w:sz="1"/>
            </w:tcBorders>
            <w:shd w:fill="00606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Forma</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5.1</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Motor retroalimentación (Hexágono)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¿Hubo desacuerdo médico-IA en este caso?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¿Desacuerdo?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5.2</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¿Desacuerdo?  → SÍ</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Par [input paciente → etiqueta médico] guardado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Dataset de reentrenamiento (Cilindro BD)</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5.3</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¿Desacuerdo?  → 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Confirmación guardada con peso de aprendizaje menor</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Dataset de confirmaciones (Cilindro BD)</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5.4</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Dataset acumulado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¿Tasa de desacuerdo mensual &gt; 15%?</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Evaluación mensual de drift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5.5</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Drift &gt; 15%  → SÍ</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Proceso de reentrenamiento controlado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Nuevo modelo en dev (Hexágono)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5.6</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Nuevo modelo dev</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Validación clínica por Médico Validador (50 casos)</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¿Aprobación médica? (Rombo)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5.7</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¿Aprobación?  → SÍ</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Despliegue del nuevo modelo vía MLflow</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Modelo actualizado en producción (Hexágono)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5.8</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¿Aprobación?  → 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Rollback — Mantener modelo actual</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Modelo anterior activo — Investigar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r>
        <w:tc>
          <w:tcPr>
            <w:tcW w:type="dxa" w:w="36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5.9</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Drift &gt; 15%  → NO</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Sistema opera normalmente hasta siguiente evaluación</w:t>
            </w:r>
          </w:p>
        </w:tc>
        <w:tc>
          <w:tcPr>
            <w:tcW w:type="dxa" w:w="70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6064"/>
                <w:sz w:val="20"/>
                <w:szCs w:val="20"/>
              </w:rPr>
              <w:t xml:space="preserve">→</w:t>
            </w:r>
          </w:p>
        </w:tc>
        <w:tc>
          <w:tcPr>
            <w:tcW w:type="dxa" w:w="22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Continuar operación normal (Rectángulo)</w:t>
            </w:r>
          </w:p>
        </w:tc>
        <w:tc>
          <w:tcPr>
            <w:tcW w:type="dxa" w:w="1000"/>
            <w:tcBorders>
              <w:top w:val="single" w:color="BDBDBD" w:sz="1"/>
              <w:left w:val="single" w:color="BDBDBD" w:sz="1"/>
              <w:bottom w:val="single" w:color="BDBDBD" w:sz="1"/>
              <w:right w:val="single" w:color="BDBDB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 → ▭</w:t>
            </w:r>
          </w:p>
        </w:tc>
      </w:tr>
    </w:tbl>
    <w:p>
      <w:pPr>
        <w:spacing w:before="100" w:after="0"/>
      </w:pPr>
      <w:r>
        <w:t xml:space="preserve"/>
      </w:r>
    </w:p>
    <w:p>
      <w:pPr>
        <w:pBdr>
          <w:bottom w:val="single" w:color="2E75B6" w:sz="6" w:space="1"/>
        </w:pBdr>
        <w:spacing w:before="20" w:after="160"/>
      </w:pPr>
      <w:r>
        <w:t xml:space="preserve"/>
      </w:r>
    </w:p>
    <w:p>
      <w:pPr>
        <w:pStyle w:val="Heading1"/>
        <w:spacing w:before="340" w:after="140"/>
      </w:pPr>
      <w:r>
        <w:rPr>
          <w:rFonts w:ascii="Arial" w:cs="Arial" w:eastAsia="Arial" w:hAnsi="Arial"/>
          <w:b/>
          <w:bCs/>
          <w:color w:val="1F4E79"/>
          <w:sz w:val="32"/>
          <w:szCs w:val="32"/>
        </w:rPr>
        <w:t xml:space="preserve">Tips de Diagramación por Herramienta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Herramienta</w:t>
            </w:r>
          </w:p>
        </w:tc>
        <w:tc>
          <w:tcPr>
            <w:tcW w:type="dxa" w:w="7360"/>
            <w:tcBorders>
              <w:top w:val="single" w:color="BDBDBD" w:sz="1"/>
              <w:left w:val="single" w:color="BDBDBD" w:sz="1"/>
              <w:bottom w:val="single" w:color="BDBDBD" w:sz="1"/>
              <w:right w:val="single" w:color="BDBDBD" w:sz="1"/>
            </w:tcBorders>
            <w:shd w:fill="1F4E79"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Configuración recomendada para Smart X</w:t>
            </w:r>
          </w:p>
        </w:tc>
      </w:tr>
      <w:tr>
        <w:tc>
          <w:tcPr>
            <w:tcW w:type="dxa" w:w="2000"/>
            <w:tcBorders>
              <w:top w:val="single" w:color="BDBDBD" w:sz="1"/>
              <w:left w:val="single" w:color="BDBDBD" w:sz="1"/>
              <w:bottom w:val="single" w:color="BDBDBD" w:sz="1"/>
              <w:right w:val="single" w:color="BDBDBD"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Draw.io</w:t>
            </w:r>
          </w:p>
        </w:tc>
        <w:tc>
          <w:tcPr>
            <w:tcW w:type="dxa" w:w="7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Usa el tema 'Flowchart' (menú Extras → Edit Diagram). Agrupa cada fase en un 'Swimlane' con color de cabecera: Azul (F1), Teal (F2-F3), Verde (F4), Morado (F5). Exporta como XML para editar programáticamente.</w:t>
            </w:r>
          </w:p>
        </w:tc>
      </w:tr>
      <w:tr>
        <w:tc>
          <w:tcPr>
            <w:tcW w:type="dxa" w:w="2000"/>
            <w:tcBorders>
              <w:top w:val="single" w:color="BDBDBD" w:sz="1"/>
              <w:left w:val="single" w:color="BDBDBD" w:sz="1"/>
              <w:bottom w:val="single" w:color="BDBDBD" w:sz="1"/>
              <w:right w:val="single" w:color="BDBDBD" w:sz="1"/>
            </w:tcBorders>
            <w:shd w:fill="E0F7FA"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Lucidchart</w:t>
            </w:r>
          </w:p>
        </w:tc>
        <w:tc>
          <w:tcPr>
            <w:tcW w:type="dxa" w:w="7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Activa 'Advanced Shapes' para acceder a cilindros de BD. Usa 'Groups' para agrupar por fases. El template 'Data Flow Diagram' te da la base ideal. Usa líneas punteadas para flujos condicionales (NO).</w:t>
            </w:r>
          </w:p>
        </w:tc>
      </w:tr>
      <w:tr>
        <w:tc>
          <w:tcPr>
            <w:tcW w:type="dxa" w:w="2000"/>
            <w:tcBorders>
              <w:top w:val="single" w:color="BDBDBD" w:sz="1"/>
              <w:left w:val="single" w:color="BDBDBD" w:sz="1"/>
              <w:bottom w:val="single" w:color="BDBDBD" w:sz="1"/>
              <w:right w:val="single" w:color="BDBDBD" w:sz="1"/>
            </w:tcBorders>
            <w:shd w:fill="E2EFDA"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Canva</w:t>
            </w:r>
          </w:p>
        </w:tc>
        <w:tc>
          <w:tcPr>
            <w:tcW w:type="dxa" w:w="7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Usa el template 'Flowchart' de la biblioteca. Agrupa las fases como 'Frames' separados y únelos con flechas. Para rombos de decisión, usa la forma 'Diamond' de la categoría 'Lines &amp; Shapes'.</w:t>
            </w:r>
          </w:p>
        </w:tc>
      </w:tr>
      <w:tr>
        <w:tc>
          <w:tcPr>
            <w:tcW w:type="dxa" w:w="2000"/>
            <w:tcBorders>
              <w:top w:val="single" w:color="BDBDBD" w:sz="1"/>
              <w:left w:val="single" w:color="BDBDBD" w:sz="1"/>
              <w:bottom w:val="single" w:color="BDBDBD" w:sz="1"/>
              <w:right w:val="single" w:color="BDBDBD" w:sz="1"/>
            </w:tcBorders>
            <w:shd w:fill="FFF9C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Miro</w:t>
            </w:r>
          </w:p>
        </w:tc>
        <w:tc>
          <w:tcPr>
            <w:tcW w:type="dxa" w:w="7360"/>
            <w:tcBorders>
              <w:top w:val="single" w:color="BDBDBD" w:sz="1"/>
              <w:left w:val="single" w:color="BDBDBD" w:sz="1"/>
              <w:bottom w:val="single" w:color="BDBDBD" w:sz="1"/>
              <w:right w:val="single" w:color="BDBDB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Importa las fases como 'Frames' separados. Usa los sticky notes de color para las notas de auditoría y seguridad. El plugin 'Flowchart' facilita la conexión automática de formas.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2E75B6" w:sz="14"/>
              <w:bottom w:val="single" w:color="2E75B6" w:sz="4"/>
              <w:right w:val="single" w:color="2E75B6" w:sz="4"/>
            </w:tcBorders>
            <w:shd w:fill="D6E4F0" w:val="clear"/>
            <w:tcMar>
              <w:top w:type="dxa" w:w="130"/>
              <w:left w:type="dxa" w:w="200"/>
              <w:bottom w:type="dxa" w:w="130"/>
              <w:right w:type="dxa" w:w="200"/>
            </w:tcMar>
          </w:tcPr>
          <w:p>
            <w:pPr>
              <w:spacing w:after="60"/>
            </w:pPr>
            <w:r>
              <w:rPr>
                <w:rFonts w:ascii="Arial" w:cs="Arial" w:eastAsia="Arial" w:hAnsi="Arial"/>
                <w:b/>
                <w:bCs/>
                <w:color w:val="2E75B6"/>
                <w:sz w:val="22"/>
                <w:szCs w:val="22"/>
              </w:rPr>
              <w:t xml:space="preserve">💡  Consejo Final para el Diagrama</w:t>
            </w:r>
          </w:p>
          <w:p>
            <w:r>
              <w:rPr>
                <w:rFonts w:ascii="Arial" w:cs="Arial" w:eastAsia="Arial" w:hAnsi="Arial"/>
                <w:sz w:val="20"/>
                <w:szCs w:val="20"/>
              </w:rPr>
              <w:t xml:space="preserve">Divide el diagrama en dos niveles: un diagrama de alto nivel (1 página, solo los 5 bloques de fases con sus conexiones principales) y un diagrama de detalle por fase (1 página por fase, con todos los pasos y decisiones). Esto hace el documento más manejable en una presentación universitaria y más fácil de explicar ante el jurado.</w:t>
            </w:r>
          </w:p>
        </w:tc>
      </w:tr>
    </w:tbl>
    <w:p>
      <w:pPr>
        <w:spacing w:before="120" w:after="0"/>
      </w:pPr>
      <w:r>
        <w:t xml:space="preserve"/>
      </w:r>
    </w:p>
    <w:p>
      <w:pPr>
        <w:pBdr>
          <w:top w:val="single" w:color="2E75B6" w:sz="4"/>
        </w:pBdr>
        <w:spacing w:before="300"/>
        <w:jc w:val="center"/>
      </w:pPr>
      <w:r>
        <w:rPr>
          <w:rFonts w:ascii="Arial" w:cs="Arial" w:eastAsia="Arial" w:hAnsi="Arial"/>
          <w:i/>
          <w:iCs/>
          <w:color w:val="888888"/>
          <w:sz w:val="18"/>
          <w:szCs w:val="18"/>
        </w:rPr>
        <w:t xml:space="preserve">Smart X — Flujo Lógico Completo v1.0  |  Proyecto Universitario  |  Febrero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2026-02-24T04:16:55.703Z</dcterms:created>
  <dcterms:modified xsi:type="dcterms:W3CDTF">2026-02-24T04:16:55.704Z</dcterms:modified>
</cp:coreProperties>
</file>

<file path=docProps/custom.xml><?xml version="1.0" encoding="utf-8"?>
<Properties xmlns="http://schemas.openxmlformats.org/officeDocument/2006/custom-properties" xmlns:vt="http://schemas.openxmlformats.org/officeDocument/2006/docPropsVTypes"/>
</file>