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Nicolás Francisco Árias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