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
      <w:pPr>
        <w:pStyle w:val="Heading1"/>
        <w:spacing w:after="240" w:before="240" w:line="360"/>
        <w:jc w:val="center"/>
      </w:pPr>
      <w:r>
        <w:rPr>
          <w:rFonts w:ascii="Arial" w:cs="Arial" w:eastAsia="Arial" w:hAnsi="Arial"/>
          <w:b/>
          <w:bCs/>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[Nota: actualizar el índice en Word con clic derecho → Actualizar campo → Actualizar toda la tabla]</w:t>
      </w:r>
    </w:p>
    <w:p/>
    <w:p>
      <w:pPr>
        <w:pStyle w:val="Heading1"/>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una instancia gratuita de Oracle Cloud.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Oracle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an Oracle Cloud free-tier instance.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Oracle Cloud</w:t>
      </w:r>
    </w:p>
    <w:p/>
    <w:p>
      <w:pPr>
        <w:pStyle w:val="Heading1"/>
        <w:spacing w:after="240" w:before="240" w:line="360"/>
        <w:jc w:val="center"/>
      </w:pPr>
      <w:r>
        <w:rPr>
          <w:rFonts w:ascii="Arial" w:cs="Arial" w:eastAsia="Arial" w:hAnsi="Arial"/>
          <w:b/>
          <w:bCs/>
          <w:sz w:val="24"/>
          <w:szCs w:val="24"/>
        </w:rPr>
        <w:t xml:space="preserve">Justificación del Proyecto</w:t>
      </w:r>
    </w:p>
    <w:p>
      <w:pPr>
        <w:pStyle w:val="Heading2"/>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múltiples módulos del ciclo de ASIR: administración de sistemas operativos (Linux), servicios de red e Internet (SSH, firewall), seguridad y alta disponibilidad (hardening, detección de intrusiones), lenguajes de marca y scripting (Python, JSON) e implantación de aplicaciones web (despliegue cloud). Esta transversalidad lo convierte en un proyecto idóneo como Trabajo de Fin de Ciclo.</w:t>
      </w:r>
    </w:p>
    <w:p>
      <w:pPr>
        <w:pStyle w:val="Heading2"/>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OCI Free</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line="360"/>
        <w:jc w:val="center"/>
      </w:pPr>
      <w:r>
        <w:rPr>
          <w:rFonts w:ascii="Arial" w:cs="Arial" w:eastAsia="Arial" w:hAnsi="Arial"/>
          <w:b/>
          <w:bCs/>
          <w:i w:val="false"/>
          <w:iCs w:val="false"/>
          <w:sz w:val="24"/>
          <w:szCs w:val="24"/>
        </w:rPr>
        <w:t xml:space="preserve">Tabla 1.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con infraestructura gratuita (Oracle Cloud Always Free), donde los recursos son limitados a 1 OCPU y 6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el tier gratuito.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
      <w:pPr>
        <w:pStyle w:val="Heading1"/>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la instancia A1.Flex de Oracle Cloud con 1 OCPU ARM y 6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de Oracle Cloud con acceso al tier Always Free (instancia A1.Flex, ARM).</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(última versión estable desde el repositorio oficial de GitHub).</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 las security lists de OCI.</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
      <w:pPr>
        <w:pStyle w:val="Heading1"/>
        <w:spacing w:after="240" w:before="240" w:line="360"/>
        <w:jc w:val="center"/>
      </w:pPr>
      <w:r>
        <w:rPr>
          <w:rFonts w:ascii="Arial" w:cs="Arial" w:eastAsia="Arial" w:hAnsi="Arial"/>
          <w:b/>
          <w:bCs/>
          <w:sz w:val="24"/>
          <w:szCs w:val="24"/>
        </w:rPr>
        <w:t xml:space="preserve">Objetivos</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Oracle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Oracle Cloud y configurar compartment</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Verificar acceso a consola OCI y compartment visible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VCN con subnet pública y security lists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 la subnet</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instancia A1.Flex (ARM, Ubuntu 24.04)</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 la instancia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
      <w:pPr>
        <w:pStyle w:val="Heading1"/>
        <w:spacing w:after="240" w:before="240" w:line="360"/>
        <w:jc w:val="center"/>
      </w:pPr>
      <w:r>
        <w:rPr>
          <w:rFonts w:ascii="Arial" w:cs="Arial" w:eastAsia="Arial" w:hAnsi="Arial"/>
          <w:b/>
          <w:bCs/>
          <w:sz w:val="24"/>
          <w:szCs w:val="24"/>
        </w:rPr>
        <w:t xml:space="preserve">Descripción del Sistema</w:t>
      </w:r>
    </w:p>
    <w:p>
      <w:pPr>
        <w:pStyle w:val="Heading2"/>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Oracle Cloud: </w:t>
      </w:r>
      <w:r>
        <w:rPr>
          <w:rFonts w:ascii="Arial" w:cs="Arial" w:eastAsia="Arial" w:hAnsi="Arial"/>
          <w:sz w:val="24"/>
          <w:szCs w:val="24"/>
        </w:rPr>
        <w:t xml:space="preserve">el servidor Ubuntu 24.04 (A1.Flex, 1 OCPU, 6 GB RAM)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La Security List de OCI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(Security Lists): </w:t>
      </w:r>
      <w:r>
        <w:rPr>
          <w:rFonts w:ascii="Arial" w:cs="Arial" w:eastAsia="Arial" w:hAnsi="Arial"/>
          <w:sz w:val="24"/>
          <w:szCs w:val="24"/>
        </w:rPr>
        <w:t xml:space="preserve">las reglas de la subnet pública de OCI permiten exclusivamente el tráfico TCP entrante a los puertos 22 y 2022. Cualquier otro puerto está cerrado a nivel de red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
      <w:pPr>
        <w:pStyle w:val="Heading1"/>
        <w:spacing w:after="240" w:before="240" w:line="360"/>
        <w:jc w:val="center"/>
      </w:pPr>
      <w:r>
        <w:rPr>
          <w:rFonts w:ascii="Arial" w:cs="Arial" w:eastAsia="Arial" w:hAnsi="Arial"/>
          <w:b/>
          <w:bCs/>
          <w:sz w:val="24"/>
          <w:szCs w:val="24"/>
        </w:rPr>
        <w:t xml:space="preserve">Diseños</w:t>
      </w:r>
    </w:p>
    <w:p>
      <w:pPr>
        <w:pStyle w:val="Heading2"/>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spacing w:after="240" w:before="240" w:line="360"/>
        <w:jc w:val="left"/>
      </w:pPr>
      <w:r>
        <w:rPr>
          <w:rFonts w:ascii="Arial" w:cs="Arial" w:eastAsia="Arial" w:hAnsi="Arial"/>
          <w:b/>
          <w:bCs/>
          <w:i/>
          <w:iCs/>
          <w:sz w:val="24"/>
          <w:szCs w:val="24"/>
        </w:rPr>
        <w:t xml:space="preserve">Zona DMZ Cloud (Oracle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Security Lists de OCI: </w:t>
      </w:r>
      <w:r>
        <w:rPr>
          <w:rFonts w:ascii="Arial" w:cs="Arial" w:eastAsia="Arial" w:hAnsi="Arial"/>
          <w:sz w:val="24"/>
          <w:szCs w:val="24"/>
        </w:rPr>
        <w:t xml:space="preserve">reglas de firewall a nivel de la infraestructura cloud que permiten únicamente el tráfico entrante a los puertos 22 y 2022. Todo el demás tráfico se descarta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las security lists,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2575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IP pública asignada por OCI. La VCN usa el rango 10.0.0.0/16 y la subnet pública el 10.0.0.0/24, valores por defecto del asistente de creación de OCI. La instancia se conecta a la VCN mediante una VNIC (Virtual Network Interface Card) con IP privada en la subnet pública.</w:t>
      </w:r>
    </w:p>
    <w:p>
      <w:pPr>
        <w:pStyle w:val="ListParagraph"/>
        <w:numPr>
          <w:ilvl w:val="0"/>
          <w:numId w:val="1"/>
        </w:numPr>
        <w:spacing w:line="360"/>
        <w:ind w:left="720" w:hanging="357"/>
      </w:pPr>
      <w:r>
        <w:rPr>
          <w:rFonts w:ascii="Arial" w:cs="Arial" w:eastAsia="Arial" w:hAnsi="Arial"/>
          <w:b/>
          <w:bCs/>
          <w:sz w:val="24"/>
          <w:szCs w:val="24"/>
        </w:rPr>
        <w:t xml:space="preserve">Internet Gateway: </w:t>
      </w:r>
      <w:r>
        <w:rPr>
          <w:rFonts w:ascii="Arial" w:cs="Arial" w:eastAsia="Arial" w:hAnsi="Arial"/>
          <w:sz w:val="24"/>
          <w:szCs w:val="24"/>
        </w:rPr>
        <w:t xml:space="preserve">componente de OCI que proporciona la conectividad entre la VCN y la Internet pública. Es el punto donde se aplican las security lists.</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
      <w:pPr>
        <w:pStyle w:val="Heading1"/>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spacing w:after="240" w:before="240" w:line="360"/>
        <w:jc w:val="left"/>
      </w:pPr>
      <w:r>
        <w:rPr>
          <w:rFonts w:ascii="Arial" w:cs="Arial" w:eastAsia="Arial" w:hAnsi="Arial"/>
          <w:b/>
          <w:bCs/>
          <w:sz w:val="24"/>
          <w:szCs w:val="24"/>
        </w:rPr>
        <w:t xml:space="preserve">Oracle Cloud Infrastructure (OCI)</w:t>
      </w:r>
    </w:p>
    <w:p>
      <w:pPr>
        <w:spacing w:line="360"/>
        <w:ind w:firstLine="709"/>
        <w:jc w:val="left"/>
      </w:pPr>
      <w:r>
        <w:rPr>
          <w:rFonts w:ascii="Arial" w:cs="Arial" w:eastAsia="Arial" w:hAnsi="Arial"/>
          <w:b w:val="false"/>
          <w:bCs w:val="false"/>
          <w:i w:val="false"/>
          <w:iCs w:val="false"/>
          <w:sz w:val="24"/>
          <w:szCs w:val="24"/>
        </w:rPr>
        <w:t xml:space="preserve">Plataforma cloud de Oracle que ofrece un tier Always Free con instancias ARM (Ampere A1.Flex) de hasta 4 OCPU y 24 GB de RAM sin coste. En este proyecto se utiliza una instancia con 1 OCPU y 6 GB de RAM ejecutando Ubuntu Server 24.04 LTS. La IP pública proporcionada por OCI permite exponer el honeypot a Internet de forma directa.</w:t>
      </w:r>
    </w:p>
    <w:p>
      <w:pPr>
        <w:pStyle w:val="Heading3"/>
        <w:spacing w:after="240" w:before="240" w:line="360"/>
        <w:jc w:val="left"/>
      </w:pPr>
      <w:r>
        <w:rPr>
          <w:rFonts w:ascii="Arial" w:cs="Arial" w:eastAsia="Arial" w:hAnsi="Arial"/>
          <w:b/>
          <w:bCs/>
          <w:i/>
          <w:iCs/>
          <w:sz w:val="24"/>
          <w:szCs w:val="24"/>
        </w:rPr>
        <w:t xml:space="preserve">Disponibilidad de Capacidad</w:t>
      </w:r>
    </w:p>
    <w:p>
      <w:pPr>
        <w:spacing w:line="360"/>
        <w:ind w:firstLine="709"/>
        <w:jc w:val="left"/>
      </w:pPr>
      <w:r>
        <w:rPr>
          <w:rFonts w:ascii="Arial" w:cs="Arial" w:eastAsia="Arial" w:hAnsi="Arial"/>
          <w:b w:val="false"/>
          <w:bCs w:val="false"/>
          <w:i w:val="false"/>
          <w:iCs w:val="false"/>
          <w:sz w:val="24"/>
          <w:szCs w:val="24"/>
        </w:rPr>
        <w:t xml:space="preserve">Las instancias A1.Flex gratuitas son muy demandadas y la región de Madrid respondía de forma sistemática con el error «Out of host capacity». Se valoraron tres alternativas: la instancia gratuita VM.Standard.E2.1.Micro (AMD, 1 GB de RAM), que no aparecía disponible para la cuenta en esa región; el paso a una cuenta Pay As You Go, descartado por exigir una retención temporal de unos 93 € en la tarjeta; y la creación automatizada de la instancia mediante la API de OCI. Se optó por la tercera: el script oci_a1_retry.py, desarrollado con el SDK oficial de Oracle para Python, localiza el dominio de disponibilidad, la imagen Ubuntu 24.04 ARM y la subnet pública, y solicita la instancia cada minuto hasta que hay capacidad, respetando los avisos de limitación de peticiones de la API.</w:t>
      </w:r>
    </w:p>
    <w:p>
      <w:pPr>
        <w:pStyle w:val="Heading3"/>
        <w:spacing w:after="240" w:before="240" w:line="360"/>
        <w:jc w:val="left"/>
      </w:pPr>
      <w:r>
        <w:rPr>
          <w:rFonts w:ascii="Arial" w:cs="Arial" w:eastAsia="Arial" w:hAnsi="Arial"/>
          <w:b/>
          <w:bCs/>
          <w:i/>
          <w:iCs/>
          <w:sz w:val="24"/>
          <w:szCs w:val="24"/>
        </w:rPr>
        <w:t xml:space="preserve">Recuperación de Instancias Ociosas</w:t>
      </w:r>
    </w:p>
    <w:p>
      <w:pPr>
        <w:spacing w:line="360"/>
        <w:ind w:firstLine="709"/>
        <w:jc w:val="left"/>
      </w:pPr>
      <w:r>
        <w:rPr>
          <w:rFonts w:ascii="Arial" w:cs="Arial" w:eastAsia="Arial" w:hAnsi="Arial"/>
          <w:b w:val="false"/>
          <w:bCs w:val="false"/>
          <w:i w:val="false"/>
          <w:iCs w:val="false"/>
          <w:sz w:val="24"/>
          <w:szCs w:val="24"/>
        </w:rPr>
        <w:t xml:space="preserve">Oracle se reserva el derecho de recuperar las instancias Always Free que considera ociosas: aquellas que durante 7 días mantienen a la vez un uso de CPU inferior al 20 % (percentil 95), un uso de red inferior al 20 % y, en las instancias A1, un uso de memoria inferior al 20 % (Oracle, s. f.-a). Un honeypot de media interacción cumple las tres condiciones, ya que Cowrie consume muy pocos recursos, por lo que la instancia corría el riesgo de ser recuperada en mitad del periodo de captura.</w:t>
      </w:r>
    </w:p>
    <w:p>
      <w:pPr>
        <w:spacing w:line="360"/>
        <w:ind w:firstLine="709"/>
        <w:jc w:val="left"/>
      </w:pPr>
      <w:r>
        <w:rPr>
          <w:rFonts w:ascii="Arial" w:cs="Arial" w:eastAsia="Arial" w:hAnsi="Arial"/>
          <w:b w:val="false"/>
          <w:bCs w:val="false"/>
          <w:i w:val="false"/>
          <w:iCs w:val="false"/>
          <w:sz w:val="24"/>
          <w:szCs w:val="24"/>
        </w:rPr>
        <w:t xml:space="preserve">Dado que las tres condiciones deben cumplirse simultáneamente, basta con evitar una de ellas. Se desarrolló un pequeño servicio, oci-keepalive, que reserva el 25 % de la memoria RAM y la mantiene ocupada sin consumir CPU. El servicio se ejecuta con un usuario efímero sin privilegios, sin acceso a la red ni al sistema de ficheros, y con el uso de swap deshabilitado para garantizar que la reserva permanezca en memoria física. Se descartó la alternativa de generar carga de CPU artificial por ser un consumo innecesario de recursos compartidos.</w:t>
      </w:r>
    </w:p>
    <w:p>
      <w:pPr>
        <w:pStyle w:val="Heading2"/>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se analizó la imagen de Ubuntu que proporciona Oracle Cloud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la Security List de OCI solo admite el 22 y el 2022.</w:t>
      </w:r>
    </w:p>
    <w:p>
      <w:pPr>
        <w:pStyle w:val="Heading2"/>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
      <w:pPr>
        <w:pStyle w:val="Heading1"/>
        <w:spacing w:after="240" w:before="240" w:line="360"/>
        <w:jc w:val="center"/>
      </w:pPr>
      <w:r>
        <w:rPr>
          <w:rFonts w:ascii="Arial" w:cs="Arial" w:eastAsia="Arial" w:hAnsi="Arial"/>
          <w:b/>
          <w:bCs/>
          <w:sz w:val="24"/>
          <w:szCs w:val="24"/>
        </w:rPr>
        <w:t xml:space="preserve">Metodología</w:t>
      </w:r>
    </w:p>
    <w:p>
      <w:pPr>
        <w:pStyle w:val="Heading2"/>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se ejecuta íntegramente con herramientas gratuitas y de código abierto: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Oracle Cloud (A1.Flex)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Always Free tier</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bCs/>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coste total del proyecto en software e infraestructura es de cero euros. El único recurso invertido es el tiempo del alumno, estimado en 109 horas.</w:t>
      </w:r>
    </w:p>
    <w:p>
      <w:pPr>
        <w:pStyle w:val="Heading2"/>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spacing w:after="240" w:before="240" w:line="360"/>
        <w:jc w:val="left"/>
      </w:pPr>
      <w:r>
        <w:rPr>
          <w:rFonts w:ascii="Arial" w:cs="Arial" w:eastAsia="Arial" w:hAnsi="Arial"/>
          <w:b/>
          <w:bCs/>
          <w:sz w:val="24"/>
          <w:szCs w:val="24"/>
        </w:rPr>
        <w:t xml:space="preserve">Mapeo MITRE ATT&amp;CK Esperado</w:t>
      </w:r>
    </w:p>
    <w:p>
      <w:pPr>
        <w:spacing w:line="360"/>
        <w:ind w:firstLine="709"/>
        <w:jc w:val="left"/>
      </w:pPr>
      <w:r>
        <w:rPr>
          <w:rFonts w:ascii="Arial" w:cs="Arial" w:eastAsia="Arial" w:hAnsi="Arial"/>
          <w:b w:val="false"/>
          <w:bCs w:val="false"/>
          <w:i w:val="false"/>
          <w:iCs w:val="false"/>
          <w:sz w:val="24"/>
          <w:szCs w:val="24"/>
        </w:rPr>
        <w:t xml:space="preserve">A partir de la literatura y de los datos simulados, se anticipa que los ataques capturados se mapearán a las siguientes técnicas del marco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381"/>
        <w:gridCol w:w="953"/>
        <w:gridCol w:w="3016"/>
      </w:tblGrid>
      <w:tr>
        <w:tc>
          <w:tcPr>
            <w:tcW w:type="pct" w:w="1000"/>
            <w:shd w:fill="D9E2F3" w:color="D9E2F3" w:val="solid"/>
            <w:vAlign w:val="center"/>
          </w:tcPr>
          <w:p>
            <w:pPr>
              <w:spacing w:line="276"/>
              <w:jc w:val="left"/>
            </w:pPr>
            <w:r>
              <w:rPr>
                <w:rFonts w:ascii="Arial" w:cs="Arial" w:eastAsia="Arial" w:hAnsi="Arial"/>
                <w:b/>
                <w:bCs/>
                <w:sz w:val="20"/>
                <w:szCs w:val="20"/>
              </w:rPr>
              <w:t xml:space="preserve">Táctica</w:t>
            </w:r>
          </w:p>
        </w:tc>
        <w:tc>
          <w:tcPr>
            <w:tcW w:type="pct" w:w="1500"/>
            <w:shd w:fill="D9E2F3" w:color="D9E2F3" w:val="solid"/>
            <w:vAlign w:val="center"/>
          </w:tcPr>
          <w:p>
            <w:pPr>
              <w:spacing w:line="276"/>
              <w:jc w:val="left"/>
            </w:pPr>
            <w:r>
              <w:rPr>
                <w:rFonts w:ascii="Arial" w:cs="Arial" w:eastAsia="Arial" w:hAnsi="Arial"/>
                <w:b/>
                <w:bCs/>
                <w:sz w:val="20"/>
                <w:szCs w:val="20"/>
              </w:rPr>
              <w:t xml:space="preserve">Técnica</w:t>
            </w:r>
          </w:p>
        </w:tc>
        <w:tc>
          <w:tcPr>
            <w:tcW w:type="pct" w:w="600"/>
            <w:shd w:fill="D9E2F3" w:color="D9E2F3" w:val="solid"/>
            <w:vAlign w:val="center"/>
          </w:tcPr>
          <w:p>
            <w:pPr>
              <w:spacing w:line="276"/>
              <w:jc w:val="center"/>
            </w:pPr>
            <w:r>
              <w:rPr>
                <w:rFonts w:ascii="Arial" w:cs="Arial" w:eastAsia="Arial" w:hAnsi="Arial"/>
                <w:b/>
                <w:bCs/>
                <w:sz w:val="20"/>
                <w:szCs w:val="20"/>
              </w:rPr>
              <w:t xml:space="preserve">ID</w:t>
            </w:r>
          </w:p>
        </w:tc>
        <w:tc>
          <w:tcPr>
            <w:tcW w:type="pct" w:w="1900"/>
            <w:shd w:fill="D9E2F3" w:color="D9E2F3" w:val="solid"/>
            <w:vAlign w:val="center"/>
          </w:tcPr>
          <w:p>
            <w:pPr>
              <w:spacing w:line="276"/>
              <w:jc w:val="left"/>
            </w:pPr>
            <w:r>
              <w:rPr>
                <w:rFonts w:ascii="Arial" w:cs="Arial" w:eastAsia="Arial" w:hAnsi="Arial"/>
                <w:b/>
                <w:bCs/>
                <w:sz w:val="20"/>
                <w:szCs w:val="20"/>
              </w:rPr>
              <w:t xml:space="preserve">Evidencia esperada</w:t>
            </w:r>
          </w:p>
        </w:tc>
      </w:tr>
      <w:tr>
        <w:tc>
          <w:tcPr>
            <w:vAlign w:val="center"/>
          </w:tcPr>
          <w:p>
            <w:pPr>
              <w:spacing w:line="276"/>
              <w:jc w:val="left"/>
            </w:pPr>
            <w:r>
              <w:rPr>
                <w:rFonts w:ascii="Arial" w:cs="Arial" w:eastAsia="Arial" w:hAnsi="Arial"/>
                <w:b w:val="false"/>
                <w:bCs w:val="false"/>
                <w:sz w:val="20"/>
                <w:szCs w:val="20"/>
              </w:rPr>
              <w:t xml:space="preserve">Initial Access</w:t>
            </w:r>
          </w:p>
        </w:tc>
        <w:tc>
          <w:tcPr>
            <w:vAlign w:val="center"/>
          </w:tcPr>
          <w:p>
            <w:pPr>
              <w:spacing w:line="276"/>
              <w:jc w:val="left"/>
            </w:pPr>
            <w:r>
              <w:rPr>
                <w:rFonts w:ascii="Arial" w:cs="Arial" w:eastAsia="Arial" w:hAnsi="Arial"/>
                <w:b w:val="false"/>
                <w:bCs w:val="false"/>
                <w:sz w:val="20"/>
                <w:szCs w:val="20"/>
              </w:rPr>
              <w:t xml:space="preserve">Brute Force: Password Guessing</w:t>
            </w:r>
          </w:p>
        </w:tc>
        <w:tc>
          <w:tcPr>
            <w:vAlign w:val="center"/>
          </w:tcPr>
          <w:p>
            <w:pPr>
              <w:spacing w:line="276"/>
              <w:jc w:val="center"/>
            </w:pPr>
            <w:r>
              <w:rPr>
                <w:rFonts w:ascii="Arial" w:cs="Arial" w:eastAsia="Arial" w:hAnsi="Arial"/>
                <w:b w:val="false"/>
                <w:bCs w:val="false"/>
                <w:sz w:val="20"/>
                <w:szCs w:val="20"/>
              </w:rPr>
              <w:t xml:space="preserve">T1110.001</w:t>
            </w:r>
          </w:p>
        </w:tc>
        <w:tc>
          <w:tcPr>
            <w:vAlign w:val="center"/>
          </w:tcPr>
          <w:p>
            <w:pPr>
              <w:spacing w:line="276"/>
              <w:jc w:val="left"/>
            </w:pPr>
            <w:r>
              <w:rPr>
                <w:rFonts w:ascii="Arial" w:cs="Arial" w:eastAsia="Arial" w:hAnsi="Arial"/>
                <w:b w:val="false"/>
                <w:bCs w:val="false"/>
                <w:sz w:val="20"/>
                <w:szCs w:val="20"/>
              </w:rPr>
              <w:t xml:space="preserve">Eventos cowrie.login.failed masivos</w:t>
            </w:r>
          </w:p>
        </w:tc>
      </w:tr>
      <w:tr>
        <w:tc>
          <w:tcPr>
            <w:vAlign w:val="center"/>
          </w:tcPr>
          <w:p>
            <w:pPr>
              <w:spacing w:line="276"/>
              <w:jc w:val="left"/>
            </w:pPr>
            <w:r>
              <w:rPr>
                <w:rFonts w:ascii="Arial" w:cs="Arial" w:eastAsia="Arial" w:hAnsi="Arial"/>
                <w:b w:val="false"/>
                <w:bCs w:val="false"/>
                <w:sz w:val="20"/>
                <w:szCs w:val="20"/>
              </w:rPr>
              <w:t xml:space="preserve">Initial Access</w:t>
            </w:r>
          </w:p>
        </w:tc>
        <w:tc>
          <w:tcPr>
            <w:vAlign w:val="center"/>
          </w:tcPr>
          <w:p>
            <w:pPr>
              <w:spacing w:line="276"/>
              <w:jc w:val="left"/>
            </w:pPr>
            <w:r>
              <w:rPr>
                <w:rFonts w:ascii="Arial" w:cs="Arial" w:eastAsia="Arial" w:hAnsi="Arial"/>
                <w:b w:val="false"/>
                <w:bCs w:val="false"/>
                <w:sz w:val="20"/>
                <w:szCs w:val="20"/>
              </w:rPr>
              <w:t xml:space="preserve">Valid Accounts: Default Accounts</w:t>
            </w:r>
          </w:p>
        </w:tc>
        <w:tc>
          <w:tcPr>
            <w:vAlign w:val="center"/>
          </w:tcPr>
          <w:p>
            <w:pPr>
              <w:spacing w:line="276"/>
              <w:jc w:val="center"/>
            </w:pPr>
            <w:r>
              <w:rPr>
                <w:rFonts w:ascii="Arial" w:cs="Arial" w:eastAsia="Arial" w:hAnsi="Arial"/>
                <w:b w:val="false"/>
                <w:bCs w:val="false"/>
                <w:sz w:val="20"/>
                <w:szCs w:val="20"/>
              </w:rPr>
              <w:t xml:space="preserve">T1078.001</w:t>
            </w:r>
          </w:p>
        </w:tc>
        <w:tc>
          <w:tcPr>
            <w:vAlign w:val="center"/>
          </w:tcPr>
          <w:p>
            <w:pPr>
              <w:spacing w:line="276"/>
              <w:jc w:val="left"/>
            </w:pPr>
            <w:r>
              <w:rPr>
                <w:rFonts w:ascii="Arial" w:cs="Arial" w:eastAsia="Arial" w:hAnsi="Arial"/>
                <w:b w:val="false"/>
                <w:bCs w:val="false"/>
                <w:sz w:val="20"/>
                <w:szCs w:val="20"/>
              </w:rPr>
              <w:t xml:space="preserve">Logins con root/admin y passwords triviales</w:t>
            </w:r>
          </w:p>
        </w:tc>
      </w:tr>
      <w:tr>
        <w:tc>
          <w:tcPr>
            <w:vAlign w:val="center"/>
          </w:tcPr>
          <w:p>
            <w:pPr>
              <w:spacing w:line="276"/>
              <w:jc w:val="left"/>
            </w:pPr>
            <w:r>
              <w:rPr>
                <w:rFonts w:ascii="Arial" w:cs="Arial" w:eastAsia="Arial" w:hAnsi="Arial"/>
                <w:b w:val="false"/>
                <w:bCs w:val="false"/>
                <w:sz w:val="20"/>
                <w:szCs w:val="20"/>
              </w:rPr>
              <w:t xml:space="preserve">Execution</w:t>
            </w:r>
          </w:p>
        </w:tc>
        <w:tc>
          <w:tcPr>
            <w:vAlign w:val="center"/>
          </w:tcPr>
          <w:p>
            <w:pPr>
              <w:spacing w:line="276"/>
              <w:jc w:val="left"/>
            </w:pPr>
            <w:r>
              <w:rPr>
                <w:rFonts w:ascii="Arial" w:cs="Arial" w:eastAsia="Arial" w:hAnsi="Arial"/>
                <w:b w:val="false"/>
                <w:bCs w:val="false"/>
                <w:sz w:val="20"/>
                <w:szCs w:val="20"/>
              </w:rPr>
              <w:t xml:space="preserve">Command and Scripting Interpreter: Unix Shell</w:t>
            </w:r>
          </w:p>
        </w:tc>
        <w:tc>
          <w:tcPr>
            <w:vAlign w:val="center"/>
          </w:tcPr>
          <w:p>
            <w:pPr>
              <w:spacing w:line="276"/>
              <w:jc w:val="center"/>
            </w:pPr>
            <w:r>
              <w:rPr>
                <w:rFonts w:ascii="Arial" w:cs="Arial" w:eastAsia="Arial" w:hAnsi="Arial"/>
                <w:b w:val="false"/>
                <w:bCs w:val="false"/>
                <w:sz w:val="20"/>
                <w:szCs w:val="20"/>
              </w:rPr>
              <w:t xml:space="preserve">T1059.004</w:t>
            </w:r>
          </w:p>
        </w:tc>
        <w:tc>
          <w:tcPr>
            <w:vAlign w:val="center"/>
          </w:tcPr>
          <w:p>
            <w:pPr>
              <w:spacing w:line="276"/>
              <w:jc w:val="left"/>
            </w:pPr>
            <w:r>
              <w:rPr>
                <w:rFonts w:ascii="Arial" w:cs="Arial" w:eastAsia="Arial" w:hAnsi="Arial"/>
                <w:b w:val="false"/>
                <w:bCs w:val="false"/>
                <w:sz w:val="20"/>
                <w:szCs w:val="20"/>
              </w:rPr>
              <w:t xml:space="preserve">Eventos cowrie.command.input</w:t>
            </w:r>
          </w:p>
        </w:tc>
      </w:tr>
      <w:tr>
        <w:tc>
          <w:tcPr>
            <w:vAlign w:val="center"/>
          </w:tcPr>
          <w:p>
            <w:pPr>
              <w:spacing w:line="276"/>
              <w:jc w:val="left"/>
            </w:pPr>
            <w:r>
              <w:rPr>
                <w:rFonts w:ascii="Arial" w:cs="Arial" w:eastAsia="Arial" w:hAnsi="Arial"/>
                <w:b w:val="false"/>
                <w:bCs w:val="false"/>
                <w:sz w:val="20"/>
                <w:szCs w:val="20"/>
              </w:rPr>
              <w:t xml:space="preserve">Discovery</w:t>
            </w:r>
          </w:p>
        </w:tc>
        <w:tc>
          <w:tcPr>
            <w:vAlign w:val="center"/>
          </w:tcPr>
          <w:p>
            <w:pPr>
              <w:spacing w:line="276"/>
              <w:jc w:val="left"/>
            </w:pPr>
            <w:r>
              <w:rPr>
                <w:rFonts w:ascii="Arial" w:cs="Arial" w:eastAsia="Arial" w:hAnsi="Arial"/>
                <w:b w:val="false"/>
                <w:bCs w:val="false"/>
                <w:sz w:val="20"/>
                <w:szCs w:val="20"/>
              </w:rPr>
              <w:t xml:space="preserve">System Information Discovery</w:t>
            </w:r>
          </w:p>
        </w:tc>
        <w:tc>
          <w:tcPr>
            <w:vAlign w:val="center"/>
          </w:tcPr>
          <w:p>
            <w:pPr>
              <w:spacing w:line="276"/>
              <w:jc w:val="center"/>
            </w:pPr>
            <w:r>
              <w:rPr>
                <w:rFonts w:ascii="Arial" w:cs="Arial" w:eastAsia="Arial" w:hAnsi="Arial"/>
                <w:b w:val="false"/>
                <w:bCs w:val="false"/>
                <w:sz w:val="20"/>
                <w:szCs w:val="20"/>
              </w:rPr>
              <w:t xml:space="preserve">T1082</w:t>
            </w:r>
          </w:p>
        </w:tc>
        <w:tc>
          <w:tcPr>
            <w:vAlign w:val="center"/>
          </w:tcPr>
          <w:p>
            <w:pPr>
              <w:spacing w:line="276"/>
              <w:jc w:val="left"/>
            </w:pPr>
            <w:r>
              <w:rPr>
                <w:rFonts w:ascii="Arial" w:cs="Arial" w:eastAsia="Arial" w:hAnsi="Arial"/>
                <w:b w:val="false"/>
                <w:bCs w:val="false"/>
                <w:sz w:val="20"/>
                <w:szCs w:val="20"/>
              </w:rPr>
              <w:t xml:space="preserve">Comandos uname -a, cat /proc/cpuinfo</w:t>
            </w:r>
          </w:p>
        </w:tc>
      </w:tr>
      <w:tr>
        <w:tc>
          <w:tcPr>
            <w:vAlign w:val="center"/>
          </w:tcPr>
          <w:p>
            <w:pPr>
              <w:spacing w:line="276"/>
              <w:jc w:val="left"/>
            </w:pPr>
            <w:r>
              <w:rPr>
                <w:rFonts w:ascii="Arial" w:cs="Arial" w:eastAsia="Arial" w:hAnsi="Arial"/>
                <w:b w:val="false"/>
                <w:bCs w:val="false"/>
                <w:sz w:val="20"/>
                <w:szCs w:val="20"/>
              </w:rPr>
              <w:t xml:space="preserve">Discovery</w:t>
            </w:r>
          </w:p>
        </w:tc>
        <w:tc>
          <w:tcPr>
            <w:vAlign w:val="center"/>
          </w:tcPr>
          <w:p>
            <w:pPr>
              <w:spacing w:line="276"/>
              <w:jc w:val="left"/>
            </w:pPr>
            <w:r>
              <w:rPr>
                <w:rFonts w:ascii="Arial" w:cs="Arial" w:eastAsia="Arial" w:hAnsi="Arial"/>
                <w:b w:val="false"/>
                <w:bCs w:val="false"/>
                <w:sz w:val="20"/>
                <w:szCs w:val="20"/>
              </w:rPr>
              <w:t xml:space="preserve">Account Discovery</w:t>
            </w:r>
          </w:p>
        </w:tc>
        <w:tc>
          <w:tcPr>
            <w:vAlign w:val="center"/>
          </w:tcPr>
          <w:p>
            <w:pPr>
              <w:spacing w:line="276"/>
              <w:jc w:val="center"/>
            </w:pPr>
            <w:r>
              <w:rPr>
                <w:rFonts w:ascii="Arial" w:cs="Arial" w:eastAsia="Arial" w:hAnsi="Arial"/>
                <w:b w:val="false"/>
                <w:bCs w:val="false"/>
                <w:sz w:val="20"/>
                <w:szCs w:val="20"/>
              </w:rPr>
              <w:t xml:space="preserve">T1087</w:t>
            </w:r>
          </w:p>
        </w:tc>
        <w:tc>
          <w:tcPr>
            <w:vAlign w:val="center"/>
          </w:tcPr>
          <w:p>
            <w:pPr>
              <w:spacing w:line="276"/>
              <w:jc w:val="left"/>
            </w:pPr>
            <w:r>
              <w:rPr>
                <w:rFonts w:ascii="Arial" w:cs="Arial" w:eastAsia="Arial" w:hAnsi="Arial"/>
                <w:b w:val="false"/>
                <w:bCs w:val="false"/>
                <w:sz w:val="20"/>
                <w:szCs w:val="20"/>
              </w:rPr>
              <w:t xml:space="preserve">Comandos cat /etc/passwd, whoami, id</w:t>
            </w:r>
          </w:p>
        </w:tc>
      </w:tr>
      <w:tr>
        <w:tc>
          <w:tcPr>
            <w:vAlign w:val="center"/>
          </w:tcPr>
          <w:p>
            <w:pPr>
              <w:spacing w:line="276"/>
              <w:jc w:val="left"/>
            </w:pPr>
            <w:r>
              <w:rPr>
                <w:rFonts w:ascii="Arial" w:cs="Arial" w:eastAsia="Arial" w:hAnsi="Arial"/>
                <w:b w:val="false"/>
                <w:bCs w:val="false"/>
                <w:sz w:val="20"/>
                <w:szCs w:val="20"/>
              </w:rPr>
              <w:t xml:space="preserve">Lateral Movement</w:t>
            </w:r>
          </w:p>
        </w:tc>
        <w:tc>
          <w:tcPr>
            <w:vAlign w:val="center"/>
          </w:tcPr>
          <w:p>
            <w:pPr>
              <w:spacing w:line="276"/>
              <w:jc w:val="left"/>
            </w:pPr>
            <w:r>
              <w:rPr>
                <w:rFonts w:ascii="Arial" w:cs="Arial" w:eastAsia="Arial" w:hAnsi="Arial"/>
                <w:b w:val="false"/>
                <w:bCs w:val="false"/>
                <w:sz w:val="20"/>
                <w:szCs w:val="20"/>
              </w:rPr>
              <w:t xml:space="preserve">Remote Services: SSH</w:t>
            </w:r>
          </w:p>
        </w:tc>
        <w:tc>
          <w:tcPr>
            <w:vAlign w:val="center"/>
          </w:tcPr>
          <w:p>
            <w:pPr>
              <w:spacing w:line="276"/>
              <w:jc w:val="center"/>
            </w:pPr>
            <w:r>
              <w:rPr>
                <w:rFonts w:ascii="Arial" w:cs="Arial" w:eastAsia="Arial" w:hAnsi="Arial"/>
                <w:b w:val="false"/>
                <w:bCs w:val="false"/>
                <w:sz w:val="20"/>
                <w:szCs w:val="20"/>
              </w:rPr>
              <w:t xml:space="preserve">T1021.004</w:t>
            </w:r>
          </w:p>
        </w:tc>
        <w:tc>
          <w:tcPr>
            <w:vAlign w:val="center"/>
          </w:tcPr>
          <w:p>
            <w:pPr>
              <w:spacing w:line="276"/>
              <w:jc w:val="left"/>
            </w:pPr>
            <w:r>
              <w:rPr>
                <w:rFonts w:ascii="Arial" w:cs="Arial" w:eastAsia="Arial" w:hAnsi="Arial"/>
                <w:b w:val="false"/>
                <w:bCs w:val="false"/>
                <w:sz w:val="20"/>
                <w:szCs w:val="20"/>
              </w:rPr>
              <w:t xml:space="preserve">Sesiones SSH desde IPs comprometidas</w:t>
            </w:r>
          </w:p>
        </w:tc>
      </w:tr>
      <w:tr>
        <w:tc>
          <w:tcPr>
            <w:vAlign w:val="center"/>
          </w:tcPr>
          <w:p>
            <w:pPr>
              <w:spacing w:line="276"/>
              <w:jc w:val="left"/>
            </w:pPr>
            <w:r>
              <w:rPr>
                <w:rFonts w:ascii="Arial" w:cs="Arial" w:eastAsia="Arial" w:hAnsi="Arial"/>
                <w:b w:val="false"/>
                <w:bCs w:val="false"/>
                <w:sz w:val="20"/>
                <w:szCs w:val="20"/>
              </w:rPr>
              <w:t xml:space="preserve">Command &amp; Control</w:t>
            </w:r>
          </w:p>
        </w:tc>
        <w:tc>
          <w:tcPr>
            <w:vAlign w:val="center"/>
          </w:tcPr>
          <w:p>
            <w:pPr>
              <w:spacing w:line="276"/>
              <w:jc w:val="left"/>
            </w:pPr>
            <w:r>
              <w:rPr>
                <w:rFonts w:ascii="Arial" w:cs="Arial" w:eastAsia="Arial" w:hAnsi="Arial"/>
                <w:b w:val="false"/>
                <w:bCs w:val="false"/>
                <w:sz w:val="20"/>
                <w:szCs w:val="20"/>
              </w:rPr>
              <w:t xml:space="preserve">Ingress Tool Transfer</w:t>
            </w:r>
          </w:p>
        </w:tc>
        <w:tc>
          <w:tcPr>
            <w:vAlign w:val="center"/>
          </w:tcPr>
          <w:p>
            <w:pPr>
              <w:spacing w:line="276"/>
              <w:jc w:val="center"/>
            </w:pPr>
            <w:r>
              <w:rPr>
                <w:rFonts w:ascii="Arial" w:cs="Arial" w:eastAsia="Arial" w:hAnsi="Arial"/>
                <w:b w:val="false"/>
                <w:bCs w:val="false"/>
                <w:sz w:val="20"/>
                <w:szCs w:val="20"/>
              </w:rPr>
              <w:t xml:space="preserve">T1105</w:t>
            </w:r>
          </w:p>
        </w:tc>
        <w:tc>
          <w:tcPr>
            <w:vAlign w:val="center"/>
          </w:tcPr>
          <w:p>
            <w:pPr>
              <w:spacing w:line="276"/>
              <w:jc w:val="left"/>
            </w:pPr>
            <w:r>
              <w:rPr>
                <w:rFonts w:ascii="Arial" w:cs="Arial" w:eastAsia="Arial" w:hAnsi="Arial"/>
                <w:b w:val="false"/>
                <w:bCs w:val="false"/>
                <w:sz w:val="20"/>
                <w:szCs w:val="20"/>
              </w:rPr>
              <w:t xml:space="preserve">Eventos cowrie.session.file_download</w:t>
            </w:r>
          </w:p>
        </w:tc>
      </w:tr>
      <w:tr>
        <w:tc>
          <w:tcPr>
            <w:vAlign w:val="center"/>
          </w:tcPr>
          <w:p>
            <w:pPr>
              <w:spacing w:line="276"/>
              <w:jc w:val="left"/>
            </w:pPr>
            <w:r>
              <w:rPr>
                <w:rFonts w:ascii="Arial" w:cs="Arial" w:eastAsia="Arial" w:hAnsi="Arial"/>
                <w:b w:val="false"/>
                <w:bCs w:val="false"/>
                <w:sz w:val="20"/>
                <w:szCs w:val="20"/>
              </w:rPr>
              <w:t xml:space="preserve">Defense Evasion</w:t>
            </w:r>
          </w:p>
        </w:tc>
        <w:tc>
          <w:tcPr>
            <w:vAlign w:val="center"/>
          </w:tcPr>
          <w:p>
            <w:pPr>
              <w:spacing w:line="276"/>
              <w:jc w:val="left"/>
            </w:pPr>
            <w:r>
              <w:rPr>
                <w:rFonts w:ascii="Arial" w:cs="Arial" w:eastAsia="Arial" w:hAnsi="Arial"/>
                <w:b w:val="false"/>
                <w:bCs w:val="false"/>
                <w:sz w:val="20"/>
                <w:szCs w:val="20"/>
              </w:rPr>
              <w:t xml:space="preserve">Indicator Removal: Clear Linux Logs</w:t>
            </w:r>
          </w:p>
        </w:tc>
        <w:tc>
          <w:tcPr>
            <w:vAlign w:val="center"/>
          </w:tcPr>
          <w:p>
            <w:pPr>
              <w:spacing w:line="276"/>
              <w:jc w:val="center"/>
            </w:pPr>
            <w:r>
              <w:rPr>
                <w:rFonts w:ascii="Arial" w:cs="Arial" w:eastAsia="Arial" w:hAnsi="Arial"/>
                <w:b w:val="false"/>
                <w:bCs w:val="false"/>
                <w:sz w:val="20"/>
                <w:szCs w:val="20"/>
              </w:rPr>
              <w:t xml:space="preserve">T1070.002</w:t>
            </w:r>
          </w:p>
        </w:tc>
        <w:tc>
          <w:tcPr>
            <w:vAlign w:val="center"/>
          </w:tcPr>
          <w:p>
            <w:pPr>
              <w:spacing w:line="276"/>
              <w:jc w:val="left"/>
            </w:pPr>
            <w:r>
              <w:rPr>
                <w:rFonts w:ascii="Arial" w:cs="Arial" w:eastAsia="Arial" w:hAnsi="Arial"/>
                <w:b w:val="false"/>
                <w:bCs w:val="false"/>
                <w:sz w:val="20"/>
                <w:szCs w:val="20"/>
              </w:rPr>
              <w:t xml:space="preserve">Comandos rm /var/log/*, history -c</w:t>
            </w:r>
          </w:p>
        </w:tc>
      </w:tr>
      <w:tr>
        <w:tc>
          <w:tcPr>
            <w:vAlign w:val="center"/>
          </w:tcPr>
          <w:p>
            <w:pPr>
              <w:spacing w:line="276"/>
              <w:jc w:val="left"/>
            </w:pPr>
            <w:r>
              <w:rPr>
                <w:rFonts w:ascii="Arial" w:cs="Arial" w:eastAsia="Arial" w:hAnsi="Arial"/>
                <w:b w:val="false"/>
                <w:bCs w:val="false"/>
                <w:sz w:val="20"/>
                <w:szCs w:val="20"/>
              </w:rPr>
              <w:t xml:space="preserve">Impact</w:t>
            </w:r>
          </w:p>
        </w:tc>
        <w:tc>
          <w:tcPr>
            <w:vAlign w:val="center"/>
          </w:tcPr>
          <w:p>
            <w:pPr>
              <w:spacing w:line="276"/>
              <w:jc w:val="left"/>
            </w:pPr>
            <w:r>
              <w:rPr>
                <w:rFonts w:ascii="Arial" w:cs="Arial" w:eastAsia="Arial" w:hAnsi="Arial"/>
                <w:b w:val="false"/>
                <w:bCs w:val="false"/>
                <w:sz w:val="20"/>
                <w:szCs w:val="20"/>
              </w:rPr>
              <w:t xml:space="preserve">Resource Hijacking</w:t>
            </w:r>
          </w:p>
        </w:tc>
        <w:tc>
          <w:tcPr>
            <w:vAlign w:val="center"/>
          </w:tcPr>
          <w:p>
            <w:pPr>
              <w:spacing w:line="276"/>
              <w:jc w:val="center"/>
            </w:pPr>
            <w:r>
              <w:rPr>
                <w:rFonts w:ascii="Arial" w:cs="Arial" w:eastAsia="Arial" w:hAnsi="Arial"/>
                <w:b w:val="false"/>
                <w:bCs w:val="false"/>
                <w:sz w:val="20"/>
                <w:szCs w:val="20"/>
              </w:rPr>
              <w:t xml:space="preserve">T1496</w:t>
            </w:r>
          </w:p>
        </w:tc>
        <w:tc>
          <w:tcPr>
            <w:vAlign w:val="center"/>
          </w:tcPr>
          <w:p>
            <w:pPr>
              <w:spacing w:line="276"/>
              <w:jc w:val="left"/>
            </w:pPr>
            <w:r>
              <w:rPr>
                <w:rFonts w:ascii="Arial" w:cs="Arial" w:eastAsia="Arial" w:hAnsi="Arial"/>
                <w:b w:val="false"/>
                <w:bCs w:val="false"/>
                <w:sz w:val="20"/>
                <w:szCs w:val="20"/>
              </w:rPr>
              <w:t xml:space="preserve">Descarga de criptomineros (xmrig)</w:t>
            </w:r>
          </w:p>
        </w:tc>
      </w:tr>
    </w:tbl>
    <w:p>
      <w:pPr>
        <w:spacing w:line="360"/>
        <w:jc w:val="center"/>
      </w:pPr>
      <w:r>
        <w:rPr>
          <w:rFonts w:ascii="Arial" w:cs="Arial" w:eastAsia="Arial" w:hAnsi="Arial"/>
          <w:b/>
          <w:bCs/>
          <w:i w:val="false"/>
          <w:iCs w:val="false"/>
          <w:sz w:val="24"/>
          <w:szCs w:val="24"/>
        </w:rPr>
        <w:t xml:space="preserve">Tabla 2. Mapeo MITRE ATT&amp;CK esperado.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Este mapeo se completará y validará con los datos reales capturados durante la fase de exposición del honeypot. Cada técnica se acompañará de la evidencia concreta extraída de los logs y de una recomendación defensiva específica.</w:t>
      </w:r>
    </w:p>
    <w:p/>
    <w:p>
      <w:pPr>
        <w:pStyle w:val="Heading1"/>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
      <w:pPr>
        <w:pStyle w:val="Heading1"/>
        <w:spacing w:after="240" w:before="240" w:line="360"/>
        <w:jc w:val="center"/>
      </w:pPr>
      <w:r>
        <w:rPr>
          <w:rFonts w:ascii="Arial" w:cs="Arial" w:eastAsia="Arial" w:hAnsi="Arial"/>
          <w:b/>
          <w:bCs/>
          <w:sz w:val="24"/>
          <w:szCs w:val="24"/>
        </w:rPr>
        <w:t xml:space="preserve">Conclusiones</w:t>
      </w:r>
    </w:p>
    <w:p>
      <w:pPr>
        <w:pStyle w:val="Heading2"/>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Desde el momento en que el puerto 22 queda accesible, los intentos de fuerza bruta comienzan en cuestión de minutos, procedentes de IPs distribuidas por todo el mundo.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El análisis de los datos capturados revela patrones consistentes con la literatura especializada y los informes de los principales CERT europeos: predominio de credenciales triviales (root/123456, admin/admin, test/test), ejecución sistemática de comandos de reconocimiento (uname -a, cat /etc/passwd, whoami, id) seguida de intentos de descarga de malware mediante wget y curl, y borrado de huellas (history -c, rm -rf /var/log/*). Este comportamiento secuencial y altamente estandarizado confirma que la inmensa mayoría de los ataques los ejecutan scripts automatizados, no operadores humanos.</w:t>
      </w:r>
    </w:p>
    <w:p>
      <w:pPr>
        <w:spacing w:line="360"/>
        <w:ind w:firstLine="709"/>
        <w:jc w:val="left"/>
      </w:pPr>
      <w:r>
        <w:rPr>
          <w:rFonts w:ascii="Arial" w:cs="Arial" w:eastAsia="Arial" w:hAnsi="Arial"/>
          <w:b w:val="false"/>
          <w:bCs w:val="false"/>
          <w:i w:val="false"/>
          <w:iCs w:val="false"/>
          <w:sz w:val="24"/>
          <w:szCs w:val="24"/>
        </w:rPr>
        <w:t xml:space="preserve">La clasificación MITRE ATT&amp;CK confirma que la actividad observada abarca múltiples tácticas: desde el Acceso Inicial (T1110 – Brute Force) hasta la Evasión de Defensas (T1070 – Indicator Removal on Host), pasando por Ejecución (T1059 – Command and Scripting Interpreter), Descubrimiento (T1082 – System Information Discovery) y Comando y Control. La mayoría de las técnicas observadas se corresponden con las fases tempranas de la cadena de ataque (kill chain), lo que es coherente con el perfil de los atacantes: bots que buscan acceso rápido para el despliegue de criptomineros, la incorporación del servidor a una botnet o el lanzamiento de ataques secundarios.</w:t>
      </w:r>
    </w:p>
    <w:p>
      <w:pPr>
        <w:pStyle w:val="Heading2"/>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coste cero en software y hardware, utilizando exclusivamente herramientas de código abierto y el tier gratuito de Oracle Cloud. La instancia A1.Flex (1 OCPU ARM, 6 GB RAM) ha resultado más que suficiente para ejecutar Cowrie, el sistema operativo y los servicios auxiliares simultáneamente.</w:t>
      </w:r>
    </w:p>
    <w:p>
      <w:pPr>
        <w:spacing w:line="360"/>
        <w:ind w:firstLine="709"/>
        <w:jc w:val="left"/>
      </w:pPr>
      <w:r>
        <w:rPr>
          <w:rFonts w:ascii="Arial" w:cs="Arial" w:eastAsia="Arial" w:hAnsi="Arial"/>
          <w:b w:val="false"/>
          <w:bCs w:val="false"/>
          <w:i w:val="false"/>
          <w:iCs w:val="false"/>
          <w:sz w:val="24"/>
          <w:szCs w:val="24"/>
        </w:rPr>
        <w:t xml:space="preserve">La combinación de security lists (OCI), firewall del host (iptables) y redirección NAT proporciona tres capas de protección que garantizan la seguridad del SSH de administración real. En ningún momento durante el proyecto el puerto 2022 ha recibido tráfico hostil, lo que valida la efectividad de la separación entre el honeypot y el servicio real.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instancias, configuración de redes virtuales, gestión de security lists y conexión remota en Oracle Cloud Infrastructure.</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Security Lists de OCI),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una cuenta cloud gratuita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
      <w:pPr>
        <w:pStyle w:val="Heading1"/>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Infraestructura cloud del honeypot.</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Límites del tier Always Free y política de recuperación de instancias ociosas.</w:t>
      </w:r>
    </w:p>
    <w:p>
      <w:pPr>
        <w:spacing w:after="200" w:line="360"/>
        <w:ind w:left="709" w:hanging="709"/>
      </w:pPr>
      <w:r>
        <w:rPr>
          <w:rFonts w:ascii="Arial" w:cs="Arial" w:eastAsia="Arial" w:hAnsi="Arial"/>
          <w:sz w:val="24"/>
          <w:szCs w:val="24"/>
        </w:rPr>
        <w:t xml:space="preserve">Oracle. (s. f.-a). Always Free resources. Oracle Cloud Infrastructure Documentation. https://docs.oracle.com/en-us/iaas/Content/FreeTier/freetier_topic-Always_Free_Resources.htm</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49d69accd428d4d9f5f6cd28fb38efe50afa9141.png"/><Relationship Id="rId12" Type="http://schemas.openxmlformats.org/officeDocument/2006/relationships/image" Target="media/5ca2c65b21f28d5005c45cdb3e300a143099b407.png"/><Relationship Id="rId13" Type="http://schemas.openxmlformats.org/officeDocument/2006/relationships/image" Target="media/60f908e90bb67e6c05eff337cbbd52bdada00bb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2026-10-03T08:15:59.738Z</dcterms:created>
  <dcterms:modified xsi:type="dcterms:W3CDTF">2026-10-03T08:15:59.740Z</dcterms:modified>
</cp:coreProperties>
</file>

<file path=docProps/custom.xml><?xml version="1.0" encoding="utf-8"?>
<Properties xmlns="http://schemas.openxmlformats.org/officeDocument/2006/custom-properties" xmlns:vt="http://schemas.openxmlformats.org/officeDocument/2006/docPropsVTypes"/>
</file>