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footerReference w:type="first" r:id="rId13"/>
          <w:footerReference w:type="even" r:id="rId14"/>
          <w:headerReference w:type="default" r:id="rId15"/>
          <w:headerReference w:type="first" r:id="rId16"/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Compensação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Versão 1.3 · Setembro de 2026</w:t>
            </w:r>
            <w:r>
              <w:rPr>
                <w:rFonts w:ascii="Inter" w:hAnsi="Inter" w:cs="Inter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Todo número comercial — percentual de desconto/deságio, prazo, honorário, ROI — é 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  <w:t>PARÂMETRO A VALIDAR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.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PRODUTO: ENCONTRO DE CONTAS TRIBUTÁRIO FEDERAL — COMPENSAÇÃO MENSAL DOS DÉBITOS VINCENDOS COM CRÉDITO JUDICIAL TRANSITADO EM JULGADO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(deságio, prazo, ROI) está marcado como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DCF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 </w:t>
      </w:r>
      <w:r>
        <w:rPr>
          <w:rFonts w:ascii="Inter" w:hAnsi="Inter"/>
          <w:b/>
          <w:i w:val="0"/>
          <w:color w:val="010860"/>
          <w:sz w:val="20"/>
        </w:rPr>
        <w:t xml:space="preserve">encontro de contas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: a compensação administrativa, </w:t>
      </w:r>
      <w:r>
        <w:rPr>
          <w:rFonts w:ascii="Inter" w:hAnsi="Inter"/>
          <w:b/>
          <w:i w:val="0"/>
          <w:color w:val="010860"/>
          <w:sz w:val="20"/>
        </w:rPr>
        <w:t xml:space="preserve">mensal e recorrente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, dos débitos federais vincendos do cliente (PIS, COFINS, IRPJ, CSLL e demais tributos administrados pela RFB) contra </w:t>
      </w:r>
      <w:r>
        <w:rPr>
          <w:rFonts w:ascii="Inter" w:hAnsi="Inter"/>
          <w:b/>
          <w:i w:val="0"/>
          <w:color w:val="010860"/>
          <w:sz w:val="20"/>
        </w:rPr>
        <w:t xml:space="preserve">fração de um crédito judicial transitado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qual o cliente é habilitado no polo ativo da ação de origem. O cliente paga 80% do valor de face de cada tributo compensado e retém </w:t>
      </w:r>
      <w:r>
        <w:rPr>
          <w:rFonts w:ascii="Inter" w:hAnsi="Inter"/>
          <w:b/>
          <w:i w:val="0"/>
          <w:color w:val="010860"/>
          <w:sz w:val="20"/>
        </w:rPr>
        <w:t xml:space="preserve">20% como economia direta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 — percentuais do material-base,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O que é o "direito creditório federal" da operação?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crédito tributário federal </w:t>
      </w:r>
      <w:r>
        <w:rPr>
          <w:rFonts w:ascii="Inter" w:hAnsi="Inter"/>
          <w:b/>
          <w:i w:val="0"/>
          <w:color w:val="010860"/>
          <w:sz w:val="20"/>
        </w:rPr>
        <w:t xml:space="preserve">líquido e certo</w:t>
      </w:r>
      <w:r>
        <w:rPr>
          <w:rFonts w:ascii="Inter" w:hAnsi="Inter"/>
          <w:b w:val="0"/>
          <w:i w:val="0"/>
          <w:color w:val="141414"/>
          <w:sz w:val="20"/>
        </w:rPr>
        <w:t xml:space="preserve">, decorrente de decisão judicial </w:t>
      </w:r>
      <w:r>
        <w:rPr>
          <w:rFonts w:ascii="Inter" w:hAnsi="Inter"/>
          <w:b/>
          <w:i w:val="0"/>
          <w:color w:val="010860"/>
          <w:sz w:val="20"/>
        </w:rPr>
        <w:t xml:space="preserve">transitada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com </w:t>
      </w:r>
      <w:r>
        <w:rPr>
          <w:rFonts w:ascii="Inter" w:hAnsi="Inter"/>
          <w:b/>
          <w:i w:val="0"/>
          <w:color w:val="010860"/>
          <w:sz w:val="20"/>
        </w:rPr>
        <w:t xml:space="preserve">escrituração formal aceita pelo juízo de origem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cumpre integralmente o art. 170-A do CTN e o torna apto à compensação administrativa. O crédito </w:t>
      </w:r>
      <w:r>
        <w:rPr>
          <w:rFonts w:ascii="Inter" w:hAnsi="Inter"/>
          <w:b/>
          <w:i w:val="0"/>
          <w:color w:val="010860"/>
          <w:sz w:val="20"/>
        </w:rPr>
        <w:t xml:space="preserve">já existe e é anterior ao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operação não depende de o cliente ter crédito próprio nem ação judicial em curso.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quem é o crédito? Qual o papel do cliente e o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crédito pertence à </w:t>
      </w:r>
      <w:r>
        <w:rPr>
          <w:rFonts w:ascii="Inter" w:hAnsi="Inter"/>
          <w:b/>
          <w:i w:val="0"/>
          <w:color w:val="010860"/>
          <w:sz w:val="20"/>
        </w:rPr>
        <w:t xml:space="preserve">estrutura cedente 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(fornecedor do crédito, homologado pela Lucro Ativo — a identificação institucional do cedente é informação interna e </w:t>
      </w:r>
      <w:r>
        <w:rPr>
          <w:rFonts w:ascii="Inter" w:hAnsi="Inter"/>
          <w:b/>
          <w:i w:val="0"/>
          <w:color w:val="010860"/>
          <w:sz w:val="20"/>
        </w:rPr>
        <w:t xml:space="preserve">não é citada em material de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). O cliente é incluído como </w:t>
      </w:r>
      <w:r>
        <w:rPr>
          <w:rFonts w:ascii="Inter" w:hAnsi="Inter"/>
          <w:b/>
          <w:i w:val="0"/>
          <w:color w:val="010860"/>
          <w:sz w:val="20"/>
        </w:rPr>
        <w:t xml:space="preserve">titular de fração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por cessão formal (CC, arts. 286–298) e petição de habilitação no processo de origem — é isso que lhe confere legitimidade processual e administrativa para usar o crédito perante a RFB. A </w:t>
      </w:r>
      <w:r>
        <w:rPr>
          <w:rFonts w:ascii="Inter" w:hAnsi="Inter"/>
          <w:b/>
          <w:i w:val="0"/>
          <w:color w:val="010860"/>
          <w:sz w:val="20"/>
        </w:rPr>
        <w:t xml:space="preserve">Lucro Ativo conduz a operação de ponta a ponta</w:t>
      </w:r>
      <w:r>
        <w:rPr>
          <w:rFonts w:ascii="Inter" w:hAnsi="Inter"/>
          <w:b w:val="0"/>
          <w:i w:val="0"/>
          <w:color w:val="141414"/>
          <w:sz w:val="20"/>
        </w:rPr>
        <w:t xml:space="preserve">, com apoio de escritório contábil parceiro: diagnóstico, cessão, habilitação, protocolo do pedido-mãe, Dcomps mensais e defesa administrativa/judicial quando necessária.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Direito creditório é o mesmo que precatório?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 — e é só para marcar essa diferença que o precatório aparece neste FAQ.</w:t>
      </w:r>
      <w:r>
        <w:rPr>
          <w:rFonts w:ascii="Inter" w:hAnsi="Inter"/>
          <w:b w:val="0"/>
          <w:i w:val="0"/>
          <w:color w:val="141414"/>
          <w:sz w:val="20"/>
        </w:rPr>
        <w:t xml:space="preserve"> No precatório, a União emite ordem de pagamento e o credor espera a fila. No DCF </w:t>
      </w:r>
      <w:r>
        <w:rPr>
          <w:rFonts w:ascii="Inter" w:hAnsi="Inter"/>
          <w:b/>
          <w:i w:val="0"/>
          <w:color w:val="010860"/>
          <w:sz w:val="20"/>
        </w:rPr>
        <w:t xml:space="preserve">não há ordem de pagamento nem fila</w:t>
      </w:r>
      <w:r>
        <w:rPr>
          <w:rFonts w:ascii="Inter" w:hAnsi="Inter"/>
          <w:b w:val="0"/>
          <w:i w:val="0"/>
          <w:color w:val="141414"/>
          <w:sz w:val="20"/>
        </w:rPr>
        <w:t xml:space="preserve">: o efeito é a extinção do débito tributário do cliente por compensação administrativa (CTN, art. 156, II). Na reunião, cite o precatório apenas de forma pontual e superficial, para explicar o que a operação </w:t>
      </w:r>
      <w:r>
        <w:rPr>
          <w:rFonts w:ascii="Inter" w:hAnsi="Inter"/>
          <w:b/>
          <w:i w:val="0"/>
          <w:color w:val="010860"/>
          <w:sz w:val="20"/>
        </w:rPr>
        <w:t xml:space="preserve"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. Aprofundamento é da área técnica.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É a via do art. 100, §11, da CF (oferta de créditos para Dívida Ativa)?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Não.</w:t>
      </w:r>
      <w:r>
        <w:rPr>
          <w:rFonts w:ascii="Inter" w:hAnsi="Inter"/>
          <w:b w:val="0"/>
          <w:i w:val="0"/>
          <w:color w:val="141414"/>
          <w:sz w:val="20"/>
        </w:rPr>
        <w:t xml:space="preserve"> Esse caminho constitucional existe e é válido para cenários específicos (parcelamentos, Dívida Ativa), mas </w:t>
      </w:r>
      <w:r>
        <w:rPr>
          <w:rFonts w:ascii="Inter" w:hAnsi="Inter"/>
          <w:b/>
          <w:i w:val="0"/>
          <w:color w:val="010860"/>
          <w:sz w:val="20"/>
        </w:rPr>
        <w:t xml:space="preserve">não constitui a base operacional do DCF</w:t>
      </w:r>
      <w:r>
        <w:rPr>
          <w:rFonts w:ascii="Inter" w:hAnsi="Inter"/>
          <w:b w:val="0"/>
          <w:i w:val="0"/>
          <w:color w:val="141414"/>
          <w:sz w:val="20"/>
        </w:rPr>
        <w:t xml:space="preserve">. A base do DCF 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administrativa da Lei 9.430/96, art. 74</w:t>
      </w:r>
      <w:r>
        <w:rPr>
          <w:rFonts w:ascii="Inter" w:hAnsi="Inter"/>
          <w:b w:val="0"/>
          <w:i w:val="0"/>
          <w:color w:val="141414"/>
          <w:sz w:val="20"/>
        </w:rPr>
        <w:t xml:space="preserve">, via PER/DCOMP, dentro da Receita Federal, sobre </w:t>
      </w:r>
      <w:r>
        <w:rPr>
          <w:rFonts w:ascii="Inter" w:hAnsi="Inter"/>
          <w:b/>
          <w:i w:val="0"/>
          <w:color w:val="010860"/>
          <w:sz w:val="20"/>
        </w:rPr>
        <w:t xml:space="preserve">débitos vincendos</w:t>
      </w:r>
      <w:r>
        <w:rPr>
          <w:rFonts w:ascii="Inter" w:hAnsi="Inter"/>
          <w:b w:val="0"/>
          <w:i w:val="0"/>
          <w:color w:val="141414"/>
          <w:sz w:val="20"/>
        </w:rPr>
        <w:t xml:space="preserve"> — com o cliente já habilitado como titular de fração do crédito.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Então é "compensação com crédito de terceiro"? Isso não é vedado?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Essa é a pergunta que define o produto — e a resposta é não.</w:t>
      </w:r>
      <w:r>
        <w:rPr>
          <w:rFonts w:ascii="Inter" w:hAnsi="Inter"/>
          <w:b w:val="0"/>
          <w:i w:val="0"/>
          <w:color w:val="141414"/>
          <w:sz w:val="20"/>
        </w:rPr>
        <w:t xml:space="preserve"> A vedação do art. 74, §12, alcança a tentativa de compensar crédito </w:t>
      </w:r>
      <w:r>
        <w:rPr>
          <w:rFonts w:ascii="Inter" w:hAnsi="Inter"/>
          <w:b/>
          <w:i w:val="0"/>
          <w:color w:val="010860"/>
          <w:sz w:val="20"/>
        </w:rPr>
        <w:t xml:space="preserve">alheio</w:t>
      </w:r>
      <w:r>
        <w:rPr>
          <w:rFonts w:ascii="Inter" w:hAnsi="Inter"/>
          <w:b w:val="0"/>
          <w:i w:val="0"/>
          <w:color w:val="141414"/>
          <w:sz w:val="20"/>
        </w:rPr>
        <w:t xml:space="preserve">. No DCF, antes de qualquer declaração de compensação, o cliente é formalmente habilitado no polo ativo do processo de origem como </w:t>
      </w:r>
      <w:r>
        <w:rPr>
          <w:rFonts w:ascii="Inter" w:hAnsi="Inter"/>
          <w:b/>
          <w:i w:val="0"/>
          <w:color w:val="010860"/>
          <w:sz w:val="20"/>
        </w:rPr>
        <w:t xml:space="preserve">titular de fração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— ele compensa crédito do qual é titular por habilitação. A operação é o exercício de direito legalmente previsto (CTN, arts. 156, II, 170 e 170-A; Lei 9.430/96, art. 74), em procedimento administrativo regular.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O PONTO MAIS SENSÍVEL DO PRODUTO — LEIA DUAS VEZES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>O DCF NÃO é "compensação com crédito de terceiro". Antes de qualquer PER/DCOMP, o cliente é habilitado no polo ativo do processo de origem como titular de fração do crédito, por cessão formal (CC, arts. 286–298) e petição de habilitação. É essa habilitação prévia que separa a operação das ofertas irregulares de "créditos de terceiros" contra as quais a Receita Federal alerta. O executivo nunca improvisa nesse ponto: se o cliente aprofundar, envolva a área técnica — há rito de defesa e precedentes específicos (Tema 736/STF; decisões TRF3/TRF4/TRF5, 2024–2026).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</w:r>
          </w:p>
        </w:tc>
      </w:tr>
    </w:tbl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Síntese das distinções — a tabela abaixo resume o que a operação NÃO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Instituto vizinho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Como funciona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Por que o DCF não é isso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Precatório (recebimento em espécie)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Requisição de pagamento expedida pela Justiça (CF, art. 100); o credor aguarda a ordem cronológica para receber da União.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a União não emite ordem de pagamento a ninguém: o efeito é a extinção do débito do cliente por compensação administrativa (CTN, art. 156, II).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Oferta de créditos à Fazenda (CF, art. 100, §11)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Uso de crédito judicial para quitar débitos parcelados ou inscritos em Dívida Ativa (Decreto 11.249/2022; Portaria PGFN 10.826/2022).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Caminho constitucional válido para cenários específicos, mas NÃO é a base operacional do DCF — o DCF corre na RFB, sobre débitos vincendos, via PER/DCOMP.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"Compra de crédito de terceiro" para compensar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Prática irregular: compensar pelo art. 74 crédito alheio, sem habilitação — alvo de alertas públicos da RFB.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o cliente é habilitado no polo ativo como titular de fração do crédito (cessão formal + petição no juízo de origem) antes de qualquer Dcomp.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Planejamento agressivo / elisão abusiva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Estruturas artificiais, simulação ou dissimulação para suprimir tributo.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O DCF exerce direito previsto em lei (CTN, art. 170; Lei 9.430/96, art. 74), com crédito transitado em julgado e escrituração aceita pelo juízo — sem simulação. O Tema 736/STF protege o exercício do direito creditório.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</w:tbl>
    <w:p>
      <w:pPr>
        <w:pStyle w:val="Heading1"/>
      </w:pPr>
      <w:r>
        <w:t xml:space="preserve"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Quais âncoras legais o executivo cita (sem detalhar o rito)?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crédito: a matriz civil da habilitação do cliente na cadeia do crédito; arts. 368–369 — a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II, 170 e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do crédito tributário pela compensação; compensação de crédito líquido e certo; exigência do trânsito em julgado (integralmente cumprida na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9.430/96, art. 74</w:t>
      </w:r>
      <w:r>
        <w:rPr>
          <w:rFonts w:ascii="Inter" w:hAnsi="Inter"/>
          <w:b w:val="0"/>
          <w:i w:val="0"/>
          <w:color w:val="141414"/>
          <w:sz w:val="19"/>
        </w:rPr>
        <w:t xml:space="preserve"> — o veículo administrativo: PER/DCOMP para compensar débitos de quaisquer tributos administrados pela RFB; §5º — prazo de até 1 ano e homologação tácita.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procedimento de restituição, ressarcimento e compensação perante a RFB.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9.250/95,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 durante o processamento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CF/88, arts. 150, §6º e 195</w:t>
      </w:r>
      <w:r>
        <w:rPr>
          <w:rFonts w:ascii="Inter" w:hAnsi="Inter"/>
          <w:b w:val="0"/>
          <w:i w:val="0"/>
          <w:color w:val="141414"/>
          <w:sz w:val="19"/>
        </w:rPr>
        <w:t xml:space="preserve"> — legalidade tributária e materialidade dos tributos compensáveis; art. 100, §11 (EC 113/2021) — via complementar para parcelados/Dívida Ativa (não é a base do DCF).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E a jurisprudência — o que blinda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é inconstitucional a multa de 50% sobre a declaração de compensação não homologada, sem demonstração de má-fé. Precedente vinculante que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contribuinte que oferece garantia tem direito à Certidão Positiva com Efeitos de Negativa (CPD-EN); aplicado por analogia aos créditos judiciais transitados.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"O contribuinte pode optar por receber, por meio de precatório ou por compensação, o indébito tributário certificado por sentença declaratória transitada em julgado."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Jurisprudência sobre denúncia espontânea</w:t>
      </w:r>
      <w:r>
        <w:rPr>
          <w:rFonts w:ascii="Inter" w:hAnsi="Inter"/>
          <w:b w:val="0"/>
          <w:i w:val="0"/>
          <w:color w:val="141414"/>
          <w:sz w:val="19"/>
        </w:rPr>
        <w:t xml:space="preserve"> — delimita o alcance do instituto e é um dos motivos de a operação se restringir a débitos vincendos.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Por que a operação foca débitos VINCENDOS (e não os atrasados)?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 desenho jurídico: o encontro de contas mensal extingue o </w:t>
      </w:r>
      <w:r>
        <w:rPr>
          <w:rFonts w:ascii="Inter" w:hAnsi="Inter"/>
          <w:b/>
          <w:i w:val="0"/>
          <w:color w:val="010860"/>
          <w:sz w:val="20"/>
        </w:rPr>
        <w:t xml:space="preserve">débito da competência, antes do vencimento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mantém a CND do cliente e evita as discussões próprias de débito vencido. Débitos </w:t>
      </w:r>
      <w:r>
        <w:rPr>
          <w:rFonts w:ascii="Inter" w:hAnsi="Inter"/>
          <w:b/>
          <w:i w:val="0"/>
          <w:color w:val="010860"/>
          <w:sz w:val="20"/>
        </w:rPr>
        <w:t xml:space="preserve">pretéritos</w:t>
      </w:r>
      <w:r>
        <w:rPr>
          <w:rFonts w:ascii="Inter" w:hAnsi="Inter"/>
          <w:b w:val="0"/>
          <w:i w:val="0"/>
          <w:color w:val="141414"/>
          <w:sz w:val="20"/>
        </w:rPr>
        <w:t xml:space="preserve"> não estão descartados, mas seguem tratamento próprio (CPD-EN com garantia — Tema 237/STJ; inclusão de parcelados/Dívida Ativa admitida em decisão judicial de operação idêntica), sempre com avaliação da área técnica, caso a caso.</w:t>
      </w:r>
    </w:p>
    <w:p>
      <w:pPr>
        <w:pStyle w:val="Heading1"/>
      </w:pPr>
      <w:r>
        <w:t xml:space="preserve"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Quais são as seis etapas administrativas,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1 · 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formal de fração do crédito (CC, arts. 286–298) + petição de habilitação do cliente no polo ativo do processo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2 · Pedido-mãe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protocolo, no COMPROT, do pedido de restituição/ressarcimento lastreado no valor escriturado do crédito judicial. É dentro dele que "vivem" os encontros de contas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3 · Dcomps mensais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cada competência, PER/DCOMP indicando o crédito habilitado e o débito federal vincendo a quitar. Cada Dcomp gera número de protocolo individualizado.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4 · Prazo legal</w:t>
      </w:r>
      <w:r>
        <w:rPr>
          <w:rFonts w:ascii="Inter" w:hAnsi="Inter"/>
          <w:b w:val="0"/>
          <w:i w:val="0"/>
          <w:color w:val="141414"/>
          <w:sz w:val="19"/>
        </w:rPr>
        <w:t xml:space="preserve"> — a RFB tem até 1 ano para examinar o pedido de ressarcimento (Lei 9.430/96, art. 74, §5º). Durante o prazo, o crédito segue atualizado pela SELIC.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5 · Homologação tácita</w:t>
      </w:r>
      <w:r>
        <w:rPr>
          <w:rFonts w:ascii="Inter" w:hAnsi="Inter"/>
          <w:b w:val="0"/>
          <w:i w:val="0"/>
          <w:color w:val="141414"/>
          <w:sz w:val="19"/>
        </w:rPr>
        <w:t xml:space="preserve"> — transcorrido 1 ano sem questionamento, a compensação considera-se homologada. O que está sob análise é o pedido-mãe, não cada Dcomp isoladamente.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6 · Acessórios</w:t>
      </w:r>
      <w:r>
        <w:rPr>
          <w:rFonts w:ascii="Inter" w:hAnsi="Inter"/>
          <w:b w:val="0"/>
          <w:i w:val="0"/>
          <w:color w:val="141414"/>
          <w:sz w:val="19"/>
        </w:rPr>
        <w:t xml:space="preserve"> — CND mantida para os débitos compensados na competência; CPD-EN para pretéritos com garantia; mandado de segurança preventivo quando necessário (certidões, vedação de multa).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"pedido-mãe"?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pedido administrativo de </w:t>
      </w:r>
      <w:r>
        <w:rPr>
          <w:rFonts w:ascii="Inter" w:hAnsi="Inter"/>
          <w:b/>
          <w:i w:val="0"/>
          <w:color w:val="010860"/>
          <w:sz w:val="20"/>
        </w:rPr>
        <w:t xml:space="preserve">restituição/ressarcimento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protocolado no </w:t>
      </w:r>
      <w:r>
        <w:rPr>
          <w:rFonts w:ascii="Inter" w:hAnsi="Inter"/>
          <w:b/>
          <w:i w:val="0"/>
          <w:color w:val="010860"/>
          <w:sz w:val="20"/>
        </w:rPr>
        <w:t xml:space="preserve">COMPROT</w:t>
      </w:r>
      <w:r>
        <w:rPr>
          <w:rFonts w:ascii="Inter" w:hAnsi="Inter"/>
          <w:b w:val="0"/>
          <w:i w:val="0"/>
          <w:color w:val="141414"/>
          <w:sz w:val="20"/>
        </w:rPr>
        <w:t xml:space="preserve"> (sistema de processos administrativos da Fazenda), lastreado no crédito judicial escriturado. Ele abre o processo dentro do qual as compensações mensais são declaradas — e é sobre ele que corre o prazo de 1 ano da RFB.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acontece durante os 12 meses de análise da RFB?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segue normalmente: as Dcomps mensais extinguem os débitos na competência (CTN, art. 156, II) e o cliente </w:t>
      </w:r>
      <w:r>
        <w:rPr>
          <w:rFonts w:ascii="Inter" w:hAnsi="Inter"/>
          <w:b/>
          <w:i w:val="0"/>
          <w:color w:val="010860"/>
          <w:sz w:val="20"/>
        </w:rPr>
        <w:t xml:space="preserve">mantém a CND</w:t>
      </w:r>
      <w:r>
        <w:rPr>
          <w:rFonts w:ascii="Inter" w:hAnsi="Inter"/>
          <w:b w:val="0"/>
          <w:i w:val="0"/>
          <w:color w:val="141414"/>
          <w:sz w:val="20"/>
        </w:rPr>
        <w:t xml:space="preserve"> sobre esses débitos. O crédito permanece </w:t>
      </w:r>
      <w:r>
        <w:rPr>
          <w:rFonts w:ascii="Inter" w:hAnsi="Inter"/>
          <w:b/>
          <w:i w:val="0"/>
          <w:color w:val="010860"/>
          <w:sz w:val="20"/>
        </w:rPr>
        <w:t xml:space="preserve">atualizado pela SELIC</w:t>
      </w:r>
      <w:r>
        <w:rPr>
          <w:rFonts w:ascii="Inter" w:hAnsi="Inter"/>
          <w:b w:val="0"/>
          <w:i w:val="0"/>
          <w:color w:val="141414"/>
          <w:sz w:val="20"/>
        </w:rPr>
        <w:t xml:space="preserve"> (Lei 9.250/95, art. 39, §4º), preservando o valor real do ativo. Não havendo questionamento no prazo, opera-se a </w:t>
      </w:r>
      <w:r>
        <w:rPr>
          <w:rFonts w:ascii="Inter" w:hAnsi="Inter"/>
          <w:b/>
          <w:i w:val="0"/>
          <w:color w:val="010860"/>
          <w:sz w:val="20"/>
        </w:rPr>
        <w:t xml:space="preserve">homologação tácita</w:t>
      </w:r>
      <w:r>
        <w:rPr>
          <w:rFonts w:ascii="Inter" w:hAnsi="Inter"/>
          <w:b w:val="0"/>
          <w:i w:val="0"/>
          <w:color w:val="141414"/>
          <w:sz w:val="20"/>
        </w:rPr>
        <w:t xml:space="preserve"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Qual o cronograma típico de implantação (90 dias)?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Dia 1–30 · Diagnóstico</w:t>
      </w:r>
      <w:r>
        <w:rPr>
          <w:rFonts w:ascii="Inter" w:hAnsi="Inter"/>
          <w:b w:val="0"/>
          <w:i w:val="0"/>
          <w:color w:val="141414"/>
          <w:sz w:val="19"/>
        </w:rPr>
        <w:t xml:space="preserve"> — coleta de DCTFs, EFD-Contribuições e DARFs; média mensal de recolhimento federal; identificação de débitos elegíveis. Entregável: Mapa de Recolhimento.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Dia 30–60 · Estruturação jurídica</w:t>
      </w:r>
      <w:r>
        <w:rPr>
          <w:rFonts w:ascii="Inter" w:hAnsi="Inter"/>
          <w:b w:val="0"/>
          <w:i w:val="0"/>
          <w:color w:val="141414"/>
          <w:sz w:val="19"/>
        </w:rPr>
        <w:t xml:space="preserve"> — parecer + memória de cálculo; termo e procuração; cessão de fração; habilitação no processo de origem; protocolo do pedido-mãe no COMPROT.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Dia 60–90 · Primeira compensação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primeira parcela mensal compensada. A primeira compensação pode ocorrer nessa janela a partir da formalização — prazo típico, (PARÂMETRO A VALIDAR).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Dia 90+ · Recorrência</w:t>
      </w:r>
      <w:r>
        <w:rPr>
          <w:rFonts w:ascii="Inter" w:hAnsi="Inter"/>
          <w:b w:val="0"/>
          <w:i w:val="0"/>
          <w:color w:val="141414"/>
          <w:sz w:val="19"/>
        </w:rPr>
        <w:t xml:space="preserve"> — Dcomps mensais até esgotar a fração habilitada da operação.</w:t>
      </w:r>
    </w:p>
    <w:p>
      <w:pPr>
        <w:pStyle w:val="Heading1"/>
      </w:pPr>
      <w:r>
        <w:t xml:space="preserve"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é o perfil de cliente ideal?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Recolhimento federal mensal relevante e recorrente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PIS, COFINS, IRPJ, CSLL e demais tributos administrados pela RFB; é sobre esse fluxo que a economia mensal acontece.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organizada e situação regular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EFD-Contribuições e DARFs em dia permitem o diagnóstico rápido (Mapa de Recolhimento).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Parcelamentos federais ativos</w:t>
      </w:r>
      <w:r>
        <w:rPr>
          <w:rFonts w:ascii="Inter" w:hAnsi="Inter"/>
          <w:b w:val="0"/>
          <w:i w:val="0"/>
          <w:color w:val="141414"/>
          <w:sz w:val="19"/>
        </w:rPr>
        <w:t xml:space="preserve"> — também endereçáveis: há decisão judicial reconhecendo a compensação com débitos parcelados e em Dívida Ativa, em operação idêntica; enquadramento pela área técnica,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pré-requisito ter crédito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crédito da operação já existe; o cliente só se habilita a uma fração.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documentos o cliente precisa entregar para começar?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Contrato social</w:t>
      </w:r>
      <w:r>
        <w:rPr>
          <w:rFonts w:ascii="Inter" w:hAnsi="Inter"/>
          <w:b w:val="0"/>
          <w:i w:val="0"/>
          <w:color w:val="141414"/>
          <w:sz w:val="19"/>
        </w:rPr>
        <w:t xml:space="preserve"> — versão consolidada e vigente.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dos sócios administradores</w:t>
      </w:r>
      <w:r>
        <w:rPr>
          <w:rFonts w:ascii="Inter" w:hAnsi="Inter"/>
          <w:b w:val="0"/>
          <w:i w:val="0"/>
          <w:color w:val="141414"/>
          <w:sz w:val="19"/>
        </w:rPr>
        <w:t xml:space="preserve"> — emitidas em até 90 dias.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RG ou CNH</w:t>
      </w:r>
      <w:r>
        <w:rPr>
          <w:rFonts w:ascii="Inter" w:hAnsi="Inter"/>
          <w:b w:val="0"/>
          <w:i w:val="0"/>
          <w:color w:val="141414"/>
          <w:sz w:val="19"/>
        </w:rPr>
        <w:t xml:space="preserve"> — dos sócios/administradores que assinarão procuração e contrato.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Procuração eletrônica no e-CAC</w:t>
      </w:r>
      <w:r>
        <w:rPr>
          <w:rFonts w:ascii="Inter" w:hAnsi="Inter"/>
          <w:b w:val="0"/>
          <w:i w:val="0"/>
          <w:color w:val="141414"/>
          <w:sz w:val="19"/>
        </w:rPr>
        <w:t xml:space="preserve"> — em nome das pessoas jurídicas indicadas pela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Complementares (na Análise Jurídica)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EFD, ECD/ECF e demais obrigações acessórias, conforme o perfil tributário identificado.</w:t>
      </w:r>
    </w:p>
    <w:p>
      <w:pPr>
        <w:pStyle w:val="Heading1"/>
      </w:pPr>
      <w:r>
        <w:t xml:space="preserve">BLOCO 5 — REMUNERAÇÃO (MODELO 80/20)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Como o cliente paga? Existe honorário, adesão ou mensalidade?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Modelo único e 100% atrelado a resultado, (PARÂMETRO A VALIDAR):</w:t>
      </w:r>
      <w:r>
        <w:rPr>
          <w:rFonts w:ascii="Inter" w:hAnsi="Inter"/>
          <w:b w:val="0"/>
          <w:i w:val="0"/>
          <w:color w:val="141414"/>
          <w:sz w:val="20"/>
        </w:rPr>
        <w:t xml:space="preserve"> o cliente paga </w:t>
      </w:r>
      <w:r>
        <w:rPr>
          <w:rFonts w:ascii="Inter" w:hAnsi="Inter"/>
          <w:b/>
          <w:i w:val="0"/>
          <w:color w:val="010860"/>
          <w:sz w:val="20"/>
        </w:rPr>
        <w:t xml:space="preserve">80% do valor de face de cada tributo efetivamente compensado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medida em que cada compensação mensal se efetiva — sem pagamento antecipado, sem adesão, sem mensalidade e sem honorários à parte (tudo embutido). Os </w:t>
      </w:r>
      <w:r>
        <w:rPr>
          <w:rFonts w:ascii="Inter" w:hAnsi="Inter"/>
          <w:b/>
          <w:i w:val="0"/>
          <w:color w:val="010860"/>
          <w:sz w:val="20"/>
        </w:rPr>
        <w:t xml:space="preserve">20% restantes são a economia direta e líquida</w:t>
      </w:r>
      <w:r>
        <w:rPr>
          <w:rFonts w:ascii="Inter" w:hAnsi="Inter"/>
          <w:b w:val="0"/>
          <w:i w:val="0"/>
          <w:color w:val="141414"/>
          <w:sz w:val="20"/>
        </w:rPr>
        <w:t xml:space="preserve"> do cliente em cada competência. A atualização SELIC do crédito durante o processamento é apropriada pela operação. Eventual defesa administrativa ou judicial relacionada é conduzida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. Atenção de postura: não use a palavra "garantido" — apresente como condição do modelo, validada em proposta.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EXEMPLO ILUSTRATIVO — não usar como proposta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Números do material-base da operação — didáticos, (PARÂMETRO A VALIDAR) em cada caso concreto. Parcelamento federal ativo de R$ 2.067.498,30, em 21 parcelas mensais de R$ 98.452,30, integralmente extinto por compensação contra o crédito judicial: o cliente paga à operação 80% (R$ 1.653.998,64), na medida em que cada compensação mensal se efetiva, e retém 20% (R$ 413.499,66) como economia direta e líquida de caixa. Não há saída de caixa para a União sobre o tributo compensado na competência. A atualização SELIC do crédito durante o processamento administrativo é apropriada pela operação.</w:t>
            </w:r>
            <w:r>
              <w:rPr>
                <w:rFonts w:ascii="Inter" w:hAnsi="Inter"/>
                <w:b w:val="0"/>
                <w:color w:val="3A2E14"/>
                <w:sz w:val="19"/>
              </w:rPr>
            </w:r>
          </w:p>
        </w:tc>
      </w:tr>
    </w:tbl>
    <w:p>
      <w:pPr>
        <w:pStyle w:val="Heading1"/>
      </w:pPr>
      <w:r>
        <w:t xml:space="preserve">BLOCO 6 — SEGURANÇA JURÍDICA E CONTINGÊNCIAS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Quais os riscos mapeados e a blindagem de cada um?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homologação do PER/DCOMP</w:t>
      </w:r>
      <w:r>
        <w:rPr>
          <w:rFonts w:ascii="Inter" w:hAnsi="Inter"/>
          <w:b w:val="0"/>
          <w:i w:val="0"/>
          <w:color w:val="141414"/>
          <w:sz w:val="19"/>
        </w:rPr>
        <w:t xml:space="preserve"> — crédito com trânsito em julgado e escrituração formal (art. 170-A CTN cumprido); defesa administrativa imediata e MS quando necessário; Tema 736/STF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Multa sobre compensação não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Tema 736/STF: inconstitucional sem prova de má-fé; decisão de TRF (mar/2026) determinou abstenção expressa da RFB em caso idêntico.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RFB não conclui a análise em 12 meses</w:t>
      </w:r>
      <w:r>
        <w:rPr>
          <w:rFonts w:ascii="Inter" w:hAnsi="Inter"/>
          <w:b w:val="0"/>
          <w:i w:val="0"/>
          <w:color w:val="141414"/>
          <w:sz w:val="19"/>
        </w:rPr>
        <w:t xml:space="preserve"> — homologação tácita ao fim do prazo (art. 74, §5º); crédito atualizado pela SELIC; cabível MS para forçar instauração — decisão de TRF (abr/2026) fixou 15 dias sob multa diária.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/ CADIN / SERASA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vincendos compensados mantêm CND; pretéritos com garantia têm CPD-EN (Tema 237/STJ); MS preventivo afasta CADIN/SERASA — teses consolidadas em TRF3 e TRF4 (2024–2026).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Responsabilização de administradores (art. 135 CTN)</w:t>
      </w:r>
      <w:r>
        <w:rPr>
          <w:rFonts w:ascii="Inter" w:hAnsi="Inter"/>
          <w:b w:val="0"/>
          <w:i w:val="0"/>
          <w:color w:val="141414"/>
          <w:sz w:val="19"/>
        </w:rPr>
        <w:t xml:space="preserve"> — exige dolo, fraude ou excesso de poderes demonstrados; exercício de direito legal não configura infração; MS (mar/2026) vedou expressamente a responsabilização.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Alegação de "elisão abusiva"</w:t>
      </w:r>
      <w:r>
        <w:rPr>
          <w:rFonts w:ascii="Inter" w:hAnsi="Inter"/>
          <w:b w:val="0"/>
          <w:i w:val="0"/>
          <w:color w:val="141414"/>
          <w:sz w:val="19"/>
        </w:rPr>
        <w:t xml:space="preserve"> — a operação exerce direito previsto em lei (CTN, art. 170; Lei 9.430/96, art. 74), com crédito judicial; não há simulação, dissimulação ou fraude.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Existem decisões judiciais em operações idênticas?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Sim — quatro decisões favoráveis (TRF3, TRF4 e TRF5, dez/2024 a abr/2026), anonimizadas no material-base:</w:t>
      </w:r>
      <w:r>
        <w:rPr>
          <w:rFonts w:ascii="Inter" w:hAnsi="Inter"/>
          <w:b w:val="0"/>
          <w:i w:val="0"/>
          <w:color w:val="141414"/>
          <w:sz w:val="20"/>
        </w:rPr>
        <w:t xml:space="preserve"> (i) apelação provida reconhecendo a compensação de créditos habilitados com débitos parcelados e em Dívida Ativa; (ii) MS com abstenção de multa qualificada, vedação de responsabilização de sócios e garantia de CND/CPD-EN; (iii) liminar suspendendo alerta de autorregularização da RFB após PER/DCOMP com crédito cedido (R$ 1.183.621,94), reconhecendo a legitimidade da cessão; (iv) tutela determinando a instauração do processo administrativo em 15 dias sob multa diária, com suspensão de parcelas vincendas e emissão de CPD-EN. </w:t>
      </w:r>
      <w:r>
        <w:rPr>
          <w:rFonts w:ascii="Inter" w:hAnsi="Inter"/>
          <w:b/>
          <w:i w:val="0"/>
          <w:color w:val="010860"/>
          <w:sz w:val="20"/>
        </w:rPr>
        <w:t xml:space="preserve">As íntegras ficam arquivadas na operação e são disponibilizadas sob pedido, para análise técnica, preservada a confidencialidade dos casos.</w:t>
      </w:r>
    </w:p>
    <w:p>
      <w:pPr>
        <w:pStyle w:val="Heading1"/>
      </w:pPr>
      <w:r>
        <w:t xml:space="preserve">BLOCO 7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"Isso é legal?"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Sim.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exercício de direito expressamente previsto em lei — CTN, arts. 156, II, 170 e 170-A; Lei 9.430/96, art. 74 — com crédito judicial transitado em julgado, em procedimento 100% administrativo dentro da Receita Federal. Cada compensação gera protocolo individualizado; tudo é registrado e rastreável.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"E se a Receita questionar ou não homologar?"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RFB tem 1 ano para se manifestar; sem questionamento, a compensação é </w:t>
      </w:r>
      <w:r>
        <w:rPr>
          <w:rFonts w:ascii="Inter" w:hAnsi="Inter"/>
          <w:b/>
          <w:i w:val="0"/>
          <w:color w:val="010860"/>
          <w:sz w:val="20"/>
        </w:rPr>
        <w:t xml:space="preserve">tacitamente homologada</w:t>
      </w:r>
      <w:r>
        <w:rPr>
          <w:rFonts w:ascii="Inter" w:hAnsi="Inter"/>
          <w:b w:val="0"/>
          <w:i w:val="0"/>
          <w:color w:val="141414"/>
          <w:sz w:val="20"/>
        </w:rPr>
        <w:t xml:space="preserve">. Se houver questionamento, toda a defesa administrativa e judicial é conduzida pela operação,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 — com blindagem jurisprudencial específica (Tema 736/STF; decisões de TRFs em casos idênticos, incluindo abstenção de multa e de responsabilização de sócios).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"Por que não simplesmente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Parcelamento dilui, não reduz: paga-se o valor cheio + SELIC ao longo do tempo, consumindo caixa. No DCF, o débito da competência é </w:t>
      </w:r>
      <w:r>
        <w:rPr>
          <w:rFonts w:ascii="Inter" w:hAnsi="Inter"/>
          <w:b/>
          <w:i w:val="0"/>
          <w:color w:val="010860"/>
          <w:sz w:val="20"/>
        </w:rPr>
        <w:t xml:space="preserve">extinto por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desembolsa 80% do valor de face — economia direta de 20% ao mês, sem antecipação e sem litígio,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mercado, não de milagre: o crédito judicial consolidado é um ativo de </w:t>
      </w:r>
      <w:r>
        <w:rPr>
          <w:rFonts w:ascii="Inter" w:hAnsi="Inter"/>
          <w:b/>
          <w:i w:val="0"/>
          <w:color w:val="010860"/>
          <w:sz w:val="20"/>
        </w:rPr>
        <w:t xml:space="preserve">baixa liquidez</w:t>
      </w:r>
      <w:r>
        <w:rPr>
          <w:rFonts w:ascii="Inter" w:hAnsi="Inter"/>
          <w:b w:val="0"/>
          <w:i w:val="0"/>
          <w:color w:val="141414"/>
          <w:sz w:val="20"/>
        </w:rPr>
        <w:t xml:space="preserve"> — o titular prefere monetizá-lo com desconto a esperar. O cliente acessa uma fração desse crédito com deságio e a lei define o rito (art. 74; PER/DCOMP; homologação). Tudo com protocolo, escrituração e registro — e precedentes judiciais em operações idênticas.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"Em quanto tempo vejo a primeira economia?"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cronograma típico coloca a </w:t>
      </w:r>
      <w:r>
        <w:rPr>
          <w:rFonts w:ascii="Inter" w:hAnsi="Inter"/>
          <w:b/>
          <w:i w:val="0"/>
          <w:color w:val="010860"/>
          <w:sz w:val="20"/>
        </w:rPr>
        <w:t xml:space="preserve">primeira compensação entre 60 e 90 dias</w:t>
      </w:r>
      <w:r>
        <w:rPr>
          <w:rFonts w:ascii="Inter" w:hAnsi="Inter"/>
          <w:b w:val="0"/>
          <w:i w:val="0"/>
          <w:color w:val="141414"/>
          <w:sz w:val="20"/>
        </w:rPr>
        <w:t xml:space="preserve"> da formalização (diagnóstico → estruturação → primeira Dcomp), e depois a economia é mensal e recorrente. Prazo típico do material-base, (PARÂMETRO A VALIDAR) — não prometa data em contrato.</w:t>
      </w:r>
    </w:p>
    <w:p>
      <w:pPr>
        <w:pStyle w:val="Heading1"/>
      </w:pPr>
      <w:r>
        <w:t xml:space="preserve">BLOCO 8 — LIMITES, RISCOS E POSTURA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25. O que o produto NÃO faz — e o que o executivo nunca deve fazer?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venda de "papel"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não compra crédito para compensar por conta própria: sem cessão formal + habilitação no polo ativo, não há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a via do art. 100, §11</w:t>
      </w:r>
      <w:r>
        <w:rPr>
          <w:rFonts w:ascii="Inter" w:hAnsi="Inter"/>
          <w:b w:val="0"/>
          <w:i w:val="0"/>
          <w:color w:val="141414"/>
          <w:sz w:val="19"/>
        </w:rPr>
        <w:t xml:space="preserve"> — não misture os ritos na frente do cliente: o DCF corre na RFB (PER/DCOMP), não na oferta de créditos à Fazenda para Dívida 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prometa homologação nem data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prazo legal é da RFB; a homologação tácita é efeito do decurso do prazo, não promessa comercial.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use "garantido"</w:t>
      </w:r>
      <w:r>
        <w:rPr>
          <w:rFonts w:ascii="Inter" w:hAnsi="Inter"/>
          <w:b w:val="0"/>
          <w:i w:val="0"/>
          <w:color w:val="141414"/>
          <w:sz w:val="19"/>
        </w:rPr>
        <w:t xml:space="preserve"> — percentuais, prazos e condições são do material-base e (PARÂMETRO A VALIDAR) em proposta individual.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Foco em débitos vincendos</w:t>
      </w:r>
      <w:r>
        <w:rPr>
          <w:rFonts w:ascii="Inter" w:hAnsi="Inter"/>
          <w:b w:val="0"/>
          <w:i w:val="0"/>
          <w:color w:val="141414"/>
          <w:sz w:val="19"/>
        </w:rPr>
        <w:t xml:space="preserve"> — pretéritos, parcelados e Dívida Ativa só com avaliação da área técnica (CPD-EN/garantia; decisão judicial favorável existe, mas o enquadramento é caso a caso).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Alerta ou intimação da RFB ao cliente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acione imediatamente a área técnica: há rito de defesa e precedente específico (liminar suspendendo alerta de autorregularização em caso idêntico). Nunca oriente o cliente por conta própria.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Direito Creditório Federal (DCF):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tributário federal, líquido e certo, decorrente de decisão judicial transitada em julgado, hábil à compensação administrativa.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Encontro de contas: </w:t>
      </w:r>
      <w:r>
        <w:rPr>
          <w:rFonts w:ascii="Inter" w:hAnsi="Inter"/>
          <w:b w:val="0"/>
          <w:i w:val="0"/>
          <w:color w:val="141414"/>
          <w:sz w:val="19"/>
        </w:rPr>
        <w:t xml:space="preserve">sinônimo prático de compensação bilateral — no DCF, a operação mensal entre o crédito habilitado e o débito federal vincendo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tributária: </w:t>
      </w:r>
      <w:r>
        <w:rPr>
          <w:rFonts w:ascii="Inter" w:hAnsi="Inter"/>
          <w:b w:val="0"/>
          <w:i w:val="0"/>
          <w:color w:val="141414"/>
          <w:sz w:val="19"/>
        </w:rPr>
        <w:t xml:space="preserve">modalidade de extinção do crédito tributário (CTN, art. 156, II) pela qual créditos e débitos se extinguem até onde se compensarem.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Cessão de crédito: </w:t>
      </w:r>
      <w:r>
        <w:rPr>
          <w:rFonts w:ascii="Inter" w:hAnsi="Inter"/>
          <w:b w:val="0"/>
          <w:i w:val="0"/>
          <w:color w:val="141414"/>
          <w:sz w:val="19"/>
        </w:rPr>
        <w:t xml:space="preserve">negócio jurídico dos arts. 286–298 do CC; no DCF, viabiliza a habilitação do cliente no polo ativo da ação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Habilitação no polo ativo: </w:t>
      </w:r>
      <w:r>
        <w:rPr>
          <w:rFonts w:ascii="Inter" w:hAnsi="Inter"/>
          <w:b w:val="0"/>
          <w:i w:val="0"/>
          <w:color w:val="141414"/>
          <w:sz w:val="19"/>
        </w:rPr>
        <w:t xml:space="preserve">reconhecimento, no processo de origem, da titularidade do cliente sobre fração do crédito — pré-requisito do uso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PER/DCOMP (Dcomp): </w:t>
      </w:r>
      <w:r>
        <w:rPr>
          <w:rFonts w:ascii="Inter" w:hAnsi="Inter"/>
          <w:b w:val="0"/>
          <w:i w:val="0"/>
          <w:color w:val="141414"/>
          <w:sz w:val="19"/>
        </w:rPr>
        <w:t xml:space="preserve">Pedido Eletrônico de Restituição, Ressarcimento ou Reembolso e Declaração de Compensação — o veículo administrativo do art. 74 da Lei 9.430/96.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Pedido-mãe (restituição/ressarcimento): </w:t>
      </w:r>
      <w:r>
        <w:rPr>
          <w:rFonts w:ascii="Inter" w:hAnsi="Inter"/>
          <w:b w:val="0"/>
          <w:i w:val="0"/>
          <w:color w:val="141414"/>
          <w:sz w:val="19"/>
        </w:rPr>
        <w:t xml:space="preserve">pedido administrativo protocolado no COMPROT, lastreado no crédito judicial, que abriga os Dcomps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COMPROT: </w:t>
      </w:r>
      <w:r>
        <w:rPr>
          <w:rFonts w:ascii="Inter" w:hAnsi="Inter"/>
          <w:b w:val="0"/>
          <w:i w:val="0"/>
          <w:color w:val="141414"/>
          <w:sz w:val="19"/>
        </w:rPr>
        <w:t xml:space="preserve">sistema de controle de processos administrativos da Fazenda, onde se protocola o pedido-mãe.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 tácita: </w:t>
      </w:r>
      <w:r>
        <w:rPr>
          <w:rFonts w:ascii="Inter" w:hAnsi="Inter"/>
          <w:b w:val="0"/>
          <w:i w:val="0"/>
          <w:color w:val="141414"/>
          <w:sz w:val="19"/>
        </w:rPr>
        <w:t xml:space="preserve">efeito do decurso do prazo de 1 ano sem manifestação da RFB sobre o pedido (Lei 9.430/96, art. 74, §5º).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líquido e certo: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de valor determinado, com origem e titularidade incontroversas — requisito do art. 170 do CTN.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Trânsito em julgado: </w:t>
      </w:r>
      <w:r>
        <w:rPr>
          <w:rFonts w:ascii="Inter" w:hAnsi="Inter"/>
          <w:b w:val="0"/>
          <w:i w:val="0"/>
          <w:color w:val="141414"/>
          <w:sz w:val="19"/>
        </w:rPr>
        <w:t xml:space="preserve">estado da decisão que não admite mais recurso; marco a partir do qual o crédito é apto à compensação (CTN, art. 170-A).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 </w:t>
      </w:r>
      <w:r>
        <w:rPr>
          <w:rFonts w:ascii="Inter" w:hAnsi="Inter"/>
          <w:b w:val="0"/>
          <w:i w:val="0"/>
          <w:color w:val="141414"/>
          <w:sz w:val="19"/>
        </w:rPr>
        <w:t xml:space="preserve">diferença entre o valor de face e o valor pago; no DCF, os 20% que ficam com o cliente como economia direta.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SELIC: </w:t>
      </w:r>
      <w:r>
        <w:rPr>
          <w:rFonts w:ascii="Inter" w:hAnsi="Inter"/>
          <w:b w:val="0"/>
          <w:i w:val="0"/>
          <w:color w:val="141414"/>
          <w:sz w:val="19"/>
        </w:rPr>
        <w:t xml:space="preserve">taxa que atualiza os créditos tributários da União em favor do contribuinte (Lei 9.250/95, art. 39, §4º).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CND: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Negativa de Débitos — atesta regularidade fiscal; exigida em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CPD-EN: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Positiva com Efeitos de Negativa — emitida com débitos suspensos ou garantidos; mesmos efeitos práticos da CND (Tema 237/STJ).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CADIN: </w:t>
      </w:r>
      <w:r>
        <w:rPr>
          <w:rFonts w:ascii="Inter" w:hAnsi="Inter"/>
          <w:b w:val="0"/>
          <w:i w:val="0"/>
          <w:color w:val="141414"/>
          <w:sz w:val="19"/>
        </w:rPr>
        <w:t xml:space="preserve">cadastro federal de créditos não quitados; a inclusão gera restrição em órgãos federais — a operação tem rito preventivo contra inclusão indevida.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Precatório: </w:t>
      </w:r>
      <w:r>
        <w:rPr>
          <w:rFonts w:ascii="Inter" w:hAnsi="Inter"/>
          <w:b w:val="0"/>
          <w:i w:val="0"/>
          <w:color w:val="141414"/>
          <w:sz w:val="19"/>
        </w:rPr>
        <w:t xml:space="preserve">requisição judicial de pagamento contra a Fazenda (CF, art. 100). Citado neste FAQ apenas para diferenciação — não é o instrumento da operação.</w:t>
      </w:r>
    </w:p>
    <w:p>
      <w:pPr>
        <w:pStyle w:val="Heading1"/>
      </w:pPr>
      <w:r>
        <w:t xml:space="preserve"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 e 368–369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 e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II; 170;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por compensação; crédito líquido e certo; exigência do trânsito em julgado.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nº 9.430/1996, art. 74 (e §5º)</w:t>
      </w:r>
      <w:r>
        <w:rPr>
          <w:rFonts w:ascii="Inter" w:hAnsi="Inter"/>
          <w:b w:val="0"/>
          <w:i w:val="0"/>
          <w:color w:val="141414"/>
          <w:sz w:val="19"/>
        </w:rPr>
        <w:t xml:space="preserve"> — PER/DCOMP; prazo de 1 ano e homologação tácita.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nº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procedimento de restituição, ressarcimento e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nº 9.250/1995,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CF/88, arts. 150, §6º; 195; 100, §11 (EC 113/2021)</w:t>
      </w:r>
      <w:r>
        <w:rPr>
          <w:rFonts w:ascii="Inter" w:hAnsi="Inter"/>
          <w:b w:val="0"/>
          <w:i w:val="0"/>
          <w:color w:val="141414"/>
          <w:sz w:val="19"/>
        </w:rPr>
        <w:t xml:space="preserve"> — legalidade, materialidade e a via complementar de quitação de parcelados/Dívida Ativa (não é a base do DCF).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Decreto nº 11.249/2022 e Portaria PGFN nº 10.826/2022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procedimento operacional da via do art. 100, §11 (citados no material-base como contexto).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inconstitucionalidade da multa de 50% sobre compensação não homologada, sem má-fé.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CPD-EN mediante garantia.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opção do contribuinte entre precatório e compensação do indébito transitado em julgado.</w:t>
      </w:r>
    </w:p>
    <w:p>
      <w:r>
        <w:br w:type="page"/>
      </w:r>
    </w:p>
    <w:p>
      <w:pPr>
        <w:pStyle w:val="Heading1"/>
      </w:pPr>
      <w:r>
        <w:t xml:space="preserve">Capítulo 2 · Compensação de ICMS com Créditos Acumulados — SP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 xml:space="preserve">PRODUTO: COMPENSAÇÃO DO ICMS MENSAL COM CRÉDITOS ACUMULADOS TRANSFERIDOS DE TERCEIROS (O CLIENTE É A CESSIONÁRIA)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produto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do ICMS mensal a recolher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 com </w:t>
      </w:r>
      <w:r>
        <w:rPr>
          <w:rFonts w:ascii="Inter" w:hAnsi="Inter"/>
          <w:b/>
          <w:i w:val="0"/>
          <w:color w:val="010860"/>
          <w:sz w:val="20"/>
        </w:rPr>
        <w:t xml:space="preserve">créditos acumulados de ICMS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, transferidos para a conta da empresa junto à SEFAZ/SP: o crédito é lançado na apuração (GIA e SPED), </w:t>
      </w:r>
      <w:r>
        <w:rPr>
          <w:rFonts w:ascii="Inter" w:hAnsi="Inter"/>
          <w:b/>
          <w:i w:val="0"/>
          <w:color w:val="010860"/>
          <w:sz w:val="20"/>
        </w:rPr>
        <w:t xml:space="preserve">reduz o imposto do mês na fonte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paga pelo crédito utilizado com deságio — economia direta, recorrente, mês a mês.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Por que NÃO chamamos de "recuperação de ICMS"?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é reaver imposto próprio pago a maior no passado (retroativo) — outra tese, com outro rito. O nosso produto atua no </w:t>
      </w:r>
      <w:r>
        <w:rPr>
          <w:rFonts w:ascii="Inter" w:hAnsi="Inter"/>
          <w:b/>
          <w:i w:val="0"/>
          <w:color w:val="010860"/>
          <w:sz w:val="20"/>
        </w:rPr>
        <w:t xml:space="preserve">imposto 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deixa de desembolsar o valor integral do ICMS do mês porque compensa a maior parte com crédito transferido. Os termos corretos são </w:t>
      </w:r>
      <w:r>
        <w:rPr>
          <w:rFonts w:ascii="Inter" w:hAnsi="Inter"/>
          <w:b/>
          <w:i w:val="0"/>
          <w:color w:val="010860"/>
          <w:sz w:val="20"/>
        </w:rPr>
        <w:t xml:space="preserve">compensação e aproveitamento de créditos acumulados</w:t>
      </w:r>
      <w:r>
        <w:rPr>
          <w:rFonts w:ascii="Inter" w:hAnsi="Inter"/>
          <w:b w:val="0"/>
          <w:i w:val="0"/>
          <w:color w:val="141414"/>
          <w:sz w:val="20"/>
        </w:rPr>
        <w:t xml:space="preserve">. Usar "recuperação" cria expectativa errada (de restituição retroativa) e descreve o que o produto não é.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onde vêm os créditos utilizados?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 </w:t>
      </w:r>
      <w:r>
        <w:rPr>
          <w:rFonts w:ascii="Inter" w:hAnsi="Inter"/>
          <w:b/>
          <w:i w:val="0"/>
          <w:color w:val="010860"/>
          <w:sz w:val="20"/>
        </w:rPr>
        <w:t xml:space="preserve">saldos acumulados por empresas incorporadas por multinacionais</w:t>
      </w:r>
      <w:r>
        <w:rPr>
          <w:rFonts w:ascii="Inter" w:hAnsi="Inter"/>
          <w:b w:val="0"/>
          <w:i w:val="0"/>
          <w:color w:val="141414"/>
          <w:sz w:val="20"/>
        </w:rPr>
        <w:t xml:space="preserve"> que, ao levantarem seus ativos, absorveram os respectivos créditos — originados das operações de compra, venda, prestação de serviços e importação. Esses créditos encontram-se </w:t>
      </w:r>
      <w:r>
        <w:rPr>
          <w:rFonts w:ascii="Inter" w:hAnsi="Inter"/>
          <w:b/>
          <w:i w:val="0"/>
          <w:color w:val="010860"/>
          <w:sz w:val="20"/>
        </w:rPr>
        <w:t xml:space="preserve">alocados em conta eletrônica junto à SEFAZ/SP, devidamente habilitados e escriturados digitalmente</w:t>
      </w:r>
      <w:r>
        <w:rPr>
          <w:rFonts w:ascii="Inter" w:hAnsi="Inter"/>
          <w:b w:val="0"/>
          <w:i w:val="0"/>
          <w:color w:val="141414"/>
          <w:sz w:val="20"/>
        </w:rPr>
        <w:t xml:space="preserve">, passíveis de transferência para compensação do saldo de ICMS das empresas destinatárias.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O que é "crédito acumulado" e por que ele existe?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</w:t>
      </w:r>
      <w:r>
        <w:rPr>
          <w:rFonts w:ascii="Inter" w:hAnsi="Inter"/>
          <w:b/>
          <w:i w:val="0"/>
          <w:color w:val="010860"/>
          <w:sz w:val="20"/>
        </w:rPr>
        <w:t xml:space="preserve"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credita-se o imposto das entradas e debita-se o das saídas. Quando, de forma estrutural, os créditos superam os débitos, forma-se um </w:t>
      </w:r>
      <w:r>
        <w:rPr>
          <w:rFonts w:ascii="Inter" w:hAnsi="Inter"/>
          <w:b/>
          <w:i w:val="0"/>
          <w:color w:val="010860"/>
          <w:sz w:val="20"/>
        </w:rPr>
        <w:t xml:space="preserve"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a operação não absorve. Nas hipóteses legais (RICMS-SP, art. 71), esse saldo é reconhecido como </w:t>
      </w:r>
      <w:r>
        <w:rPr>
          <w:rFonts w:ascii="Inter" w:hAnsi="Inter"/>
          <w:b/>
          <w:i w:val="0"/>
          <w:color w:val="010860"/>
          <w:sz w:val="20"/>
        </w:rPr>
        <w:t xml:space="preserve"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— apropriável e transferível. As causas típicas no detentor do crédito: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garante a manutenção do crédito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Heading1"/>
      </w:pPr>
      <w:r>
        <w:t xml:space="preserve"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não-cumulatividade do ICMS —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Arts. 19 a 23 (direito ao crédito) e art. 25 (saldos credores e transferência de crédito acumulado a terceiros).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— Decreto nº 45.490/2000, arts. 71 a 84:</w:t>
      </w:r>
      <w:r>
        <w:rPr>
          <w:rFonts w:ascii="Inter" w:hAnsi="Inter"/>
          <w:b w:val="0"/>
          <w:i w:val="0"/>
          <w:color w:val="141414"/>
          <w:sz w:val="19"/>
        </w:rPr>
        <w:t xml:space="preserve"> o regime do crédito acumulado — hipóteses geradoras (art. 71), geração/apropriação e formas de utilização, incluindo a transferência a outros contribuintes.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 — o lançamento: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fundamento citado no material-base da operação para o lançamento do crédito transferido no campo "Outros Créditos" da GIA e no SPED, com a compensação homologada junto à SEFAZ/SP.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a apropriação e a utilização do crédito acumulado e o sistema e-CredAc — a "conta eletrônica" onde os créditos ficam alocados e são transferidos (substituiu a Portaria CAT nº 26/2010). Desde 1º/jan/2026, a fonte de dados dos pedidos passou da GIA para a EFD (SPED Fiscal).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3 — NÃO CONFUNDIR (papéis e teses vizinhas)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Qual a diferença entre o nosso produto, a apropriação de crédito próprio e a "recuperação"?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De quem é o crédito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Papel no nosso produto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Compensação com crédito transferido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Abater o ICMS mensal com crédito acumulado recebido de terceiro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Do detentor (cedente), habilitado na SEFAZ/SP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produto — o nosso cliente é a cessionária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Apropriação de crédito próprio (e-CredAc)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Empresa que acumula saldo credor monetiza o próprio crédito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papel do detentor/cedente — não é o nosso cliente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Recuperação (ressarcimento de ST, crédito extemporâneo)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Reaver imposto próprio pago a maior,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Outra tese — fora do escopo deste produto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o nosso cliente é quem paga muito ICMS todo mês — não quem acumula crédito. Quem acumula é o detentor, que cede o crédito com deságio. Se o prospect tem saldo credor próprio, ele não é comprador deste produto (pode, no limite, ser um futuro detentor — leve à área técnica).</w:t>
      </w:r>
    </w:p>
    <w:p>
      <w:pPr>
        <w:pStyle w:val="Heading1"/>
      </w:pPr>
      <w:r>
        <w:t xml:space="preserve"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Como funciona a operação, do início ao fim?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Qualificação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apuração do ICMS mensal do cliente (GIA/SPED) e dimensionamento do crédito necessário.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habilitado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os créditos do detentor já estão alocados e habilitados em conta eletrônica junto à SEFAZ/SP, prontos para transferência.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Lançamento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solicitamos a GIA no formato PRF, executamos o lançamento no campo "Outros Créditos" e devolvemos o arquivo já transmitido; a escrituração é espelhada no SPED.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compensação é homologada junto à SEFAZ/SP; o abatimento ocorre na fonte e fica registrado na GIA, no SPED e na Conta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Constatação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cessionária confere o lançamento pela conta eletrônica e a Conta Fiscal do mês (guias quitadas, saldo do período zerado).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remanescente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 parcela não compensada é recolhida normalmente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Pagamento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paga pelo crédito utilizado (com deságio) somente após a constatação da conta fiscal zerada.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Condução </w:t>
      </w:r>
      <w:r>
        <w:rPr>
          <w:rFonts w:ascii="Inter" w:hAnsi="Inter"/>
          <w:b/>
          <w:i w:val="0"/>
          <w:color w:val="010860"/>
          <w:sz w:val="20"/>
        </w:rPr>
        <w:t xml:space="preserve">integral</w:t>
      </w:r>
      <w:r>
        <w:rPr>
          <w:rFonts w:ascii="Inter" w:hAnsi="Inter"/>
          <w:b w:val="0"/>
          <w:i w:val="0"/>
          <w:color w:val="141414"/>
          <w:sz w:val="20"/>
        </w:rPr>
        <w:t xml:space="preserve"> do procedimento: dimensionamento, lançamento e transmissão da GIA, escrituração no SPED, habilitação e compensação na conta fiscal e comprovação documental (recibos de entrega da EFD, conta eletrônica, Conta Fiscal). E o compromisso de compliance do material-base: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 a cada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qualquer questão a retificar junto à SEFAZ permanece sob a responsabilidade do nosso compliance.</w:t>
      </w:r>
    </w:p>
    <w:p>
      <w:pPr>
        <w:pStyle w:val="Heading1"/>
      </w:pPr>
      <w:r>
        <w:t xml:space="preserve">SEÇÃO 5 — SISTEMAS E TERMOS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O que é a GIA e o que é o formato PRF?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(débitos, créditos e saldos). </w:t>
      </w:r>
      <w:r>
        <w:rPr>
          <w:rFonts w:ascii="Inter" w:hAnsi="Inter"/>
          <w:b/>
          <w:i w:val="0"/>
          <w:color w:val="010860"/>
          <w:sz w:val="20"/>
        </w:rPr>
        <w:t xml:space="preserve">PRF</w:t>
      </w:r>
      <w:r>
        <w:rPr>
          <w:rFonts w:ascii="Inter" w:hAnsi="Inter"/>
          <w:b w:val="0"/>
          <w:i w:val="0"/>
          <w:color w:val="141414"/>
          <w:sz w:val="20"/>
        </w:rPr>
        <w:t xml:space="preserve"> é o formato do arquivo da GIA que o cliente nos envia: executamos o lançamento em "Outros Créditos" e devolvemos o arquivo já transmitido.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O que é o SPED Fiscal?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da empresa. É nele que a compensação é espelhada e habilitada; o recibo de entrega da EFD integra a comprovação documental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e-CredAc / a "conta eletrônica"?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controlado, alocado e transferido eletronicamente (Portaria SRE 65/2023). É por ele que a cessionária constata que o crédito foi efetivamente lançado e aceito na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são a Conta Fiscal e a DARE?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Conta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extrato/conta corrente do contribuinte na SEFAZ-SP — é nela que se constata, mês a mês, as guias quitadas e o saldo zerado antes do pagamento do crédito. </w:t>
      </w:r>
      <w:r>
        <w:rPr>
          <w:rFonts w:ascii="Inter" w:hAnsi="Inter"/>
          <w:b/>
          <w:i w:val="0"/>
          <w:color w:val="010860"/>
          <w:sz w:val="20"/>
        </w:rPr>
        <w:t xml:space="preserve">DARE</w:t>
      </w:r>
      <w:r>
        <w:rPr>
          <w:rFonts w:ascii="Inter" w:hAnsi="Inter"/>
          <w:b w:val="0"/>
          <w:i w:val="0"/>
          <w:color w:val="141414"/>
          <w:sz w:val="20"/>
        </w:rPr>
        <w:t xml:space="preserve"> é a guia de recolhimento do saldo remanescente não compensado.</w:t>
      </w:r>
    </w:p>
    <w:p>
      <w:pPr>
        <w:pStyle w:val="Heading1"/>
      </w:pPr>
      <w:r>
        <w:t xml:space="preserve">SEÇÃO 6 — NÚMEROS DA OPERAÇÃO (premissas do material-base)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Quais são os números de referência da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Utilização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entre 80% e 90% do ICMS apurado no mês; o remanescente é recolhido pela empresa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Economia:</w:t>
      </w:r>
      <w:r>
        <w:rPr>
          <w:rFonts w:ascii="Inter" w:hAnsi="Inter"/>
          <w:b w:val="0"/>
          <w:i w:val="0"/>
          <w:color w:val="141414"/>
          <w:sz w:val="19"/>
        </w:rPr>
        <w:t xml:space="preserve"> aproximadamente 30% ao mês, obtida com o deságio na aquisição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não cobramos honorários do cliente para a execução do trabalho — as despesas do procedimento são arcadas pelo detentor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Momento do pagamento: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o pagamento referente ao crédito utilizado ocorre somente após a constatação da conta fiscal zerada.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Estes números vêm do material comercial vigente (Apresentação ICMS-SP, base da operação).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Em proposta individual, reconfirme com a área técnica antes de personalizar — condição por cliente é (PARÂMETRO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o perfil ideal de cliente para este produto?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Contribuintes de ICMS em São Paulo</w:t>
      </w:r>
      <w:r>
        <w:rPr>
          <w:rFonts w:ascii="Inter" w:hAnsi="Inter"/>
          <w:b w:val="0"/>
          <w:i w:val="0"/>
          <w:color w:val="141414"/>
          <w:sz w:val="19"/>
        </w:rPr>
        <w:t xml:space="preserve"> com imposto a recolher relevante e recorrente (indústria, distribuição, comércio, importação).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Lucro Real ou Presumido</w:t>
      </w:r>
      <w:r>
        <w:rPr>
          <w:rFonts w:ascii="Inter" w:hAnsi="Inter"/>
          <w:b w:val="0"/>
          <w:i w:val="0"/>
          <w:color w:val="141414"/>
          <w:sz w:val="19"/>
        </w:rPr>
        <w:t xml:space="preserve">, com apuração organizada (GIA/SPED em dia) e situação cadastral regular.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Caixa pressionado pelo ICMS mensal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devolve fôlego imediato, sem litígio e sem mudar a operação do cliente.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"Pago muito ICMS todo mês"; "o ICMS consome meu caixa"; "minha margem some no imposto"; "não tenho crédito para abater o débito". </w:t>
      </w:r>
      <w:r>
        <w:rPr>
          <w:rFonts w:ascii="Inter" w:hAnsi="Inter"/>
          <w:b/>
          <w:i w:val="0"/>
          <w:color w:val="010860"/>
          <w:sz w:val="20"/>
        </w:rPr>
        <w:t xml:space="preserve">Qualquer um desses é sinal de qualificação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passo seguinte é pedir a apuração (GIA/SPED) do último mês para dimensionar.</w:t>
      </w:r>
    </w:p>
    <w:p>
      <w:pPr>
        <w:pStyle w:val="Heading1"/>
      </w:pPr>
      <w:r>
        <w:t xml:space="preserve"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"Isso é legal? É seguro?"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A </w:t>
      </w:r>
      <w:r>
        <w:rPr>
          <w:rFonts w:ascii="Inter" w:hAnsi="Inter"/>
          <w:b/>
          <w:i w:val="0"/>
          <w:color w:val="010860"/>
          <w:sz w:val="20"/>
        </w:rPr>
        <w:t xml:space="preserve">transferência de crédito acumulado é prevista pelo próprio regulamento paulista</w:t>
      </w:r>
      <w:r>
        <w:rPr>
          <w:rFonts w:ascii="Inter" w:hAnsi="Inter"/>
          <w:b w:val="0"/>
          <w:i w:val="0"/>
          <w:color w:val="141414"/>
          <w:sz w:val="20"/>
        </w:rPr>
        <w:t xml:space="preserve"> (RICMS-SP, arts. 71-84; Lei Kandir, art. 25). Tudo ocorre nos sistemas oficiais, com homologação da SEFAZ/SP, e fica registrado na GIA, no SPED e na Conta Fiscal. Não é liminar nem tese em disputa: é mecânica regulamentada — e o contrato prevê a responsabilidade do escritório por 5 anos após cada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"Por que meu contador nunca me ofereceu isso?"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fiscal. O </w:t>
      </w:r>
      <w:r>
        <w:rPr>
          <w:rFonts w:ascii="Inter" w:hAnsi="Inter"/>
          <w:b/>
          <w:i w:val="0"/>
          <w:color w:val="010860"/>
          <w:sz w:val="20"/>
        </w:rPr>
        <w:t xml:space="preserve">acesso a créditos habilitados de detentores</w:t>
      </w:r>
      <w:r>
        <w:rPr>
          <w:rFonts w:ascii="Inter" w:hAnsi="Inter"/>
          <w:b w:val="0"/>
          <w:i w:val="0"/>
          <w:color w:val="141414"/>
          <w:sz w:val="20"/>
        </w:rPr>
        <w:t xml:space="preserve"> e a condução da transferência/compensação é especialidade de mercado — depende de relacionamento com os detentores e de engenharia documental própria. É um trabalho complementar ao da contabilidade (que, aliás, participa enviando a GIA/SPED), não concorrente.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"E se a SEFAZ questionar depois?"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compensação passa por </w:t>
      </w:r>
      <w:r>
        <w:rPr>
          <w:rFonts w:ascii="Inter" w:hAnsi="Inter"/>
          <w:b/>
          <w:i w:val="0"/>
          <w:color w:val="010860"/>
          <w:sz w:val="20"/>
        </w:rPr>
        <w:t xml:space="preserve">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a comprovação fica registrada (recibos da EFD, conta eletrônica, Conta Fiscal). Havendo qualquer questão a retificar, o contrato prevê a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</w:t>
      </w:r>
      <w:r>
        <w:rPr>
          <w:rFonts w:ascii="Inter" w:hAnsi="Inter"/>
          <w:b w:val="0"/>
          <w:i w:val="0"/>
          <w:color w:val="141414"/>
          <w:sz w:val="20"/>
        </w:rPr>
        <w:t xml:space="preserve"> a cada compensação — permanece sob o nosso compliance, não sobra para o cliente resolver sozinho.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"Quanto custa?"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Sem honorários do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paga-se apenas o crédito efetivamente utilizado, com deságio, e somente após a conta fiscal zerada. As despesas do procedimento são arcadas pelo detentor dos créditos. Condição específica por cliente: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mercado: o detentor tem crédito parado (baixa liquidez) e prefere monetizá-lo com desconto; o cliente tem imposto certo todo mês e adquire esse crédito por menos do que pagaria ao Fisco. O </w:t>
      </w:r>
      <w:r>
        <w:rPr>
          <w:rFonts w:ascii="Inter" w:hAnsi="Inter"/>
          <w:b/>
          <w:i w:val="0"/>
          <w:color w:val="010860"/>
          <w:sz w:val="20"/>
        </w:rPr>
        <w:t xml:space="preserve">deságio é a ponte</w:t>
      </w:r>
      <w:r>
        <w:rPr>
          <w:rFonts w:ascii="Inter" w:hAnsi="Inter"/>
          <w:b w:val="0"/>
          <w:i w:val="0"/>
          <w:color w:val="141414"/>
          <w:sz w:val="20"/>
        </w:rPr>
        <w:t xml:space="preserve"> entre os dois — uma mecânica prevista em regulamento, com a SEFAZ/SP homologando cada etapa e todo o rastro documental disponível.</w:t>
      </w:r>
    </w:p>
    <w:p>
      <w:pPr>
        <w:pStyle w:val="Heading1"/>
      </w:pPr>
      <w:r>
        <w:t xml:space="preserve">SEÇÃO 9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Exemplo meramente ilustrativo — números fictícios, não é promessa de resultado.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Indústria paulista apura ICMS de R$ 500.000 no mês. Com a operação: lançamento de crédito transferido cobrindo 85% do imposto (R$ 425.000) e recolhimento do remanescente por DARE (R$ 75.000). Pelo crédito utilizado, a empresa paga ao detentor o valor com deságio — desembolsando menos do que os R$ 425.000 que pagaria ao Fisco. Resultado: o ICMS do mês sai por fração do valor original e a economia se repete enquanto a operação durar (percentuais exatos por cliente: 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O que pode travar ou atrasar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divergência entre GIA, SPED e Conta Fiscal do cliente; primeiro sanear, depois operar.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Pendências na conta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em aberto ou situação cadastral irregular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indisponível no mês</w:t>
      </w:r>
      <w:r>
        <w:rPr>
          <w:rFonts w:ascii="Inter" w:hAnsi="Inter"/>
          <w:b w:val="0"/>
          <w:i w:val="0"/>
          <w:color w:val="141414"/>
          <w:sz w:val="19"/>
        </w:rPr>
        <w:t xml:space="preserve"> — volume habilitado do detentor insuficiente para a demanda; por isso o dimensionamento antecipado.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Considerar a economia antes da hora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economia só é real após a homologação e a constatação da conta fiscal zerada; nunca antes.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ICMS mensal baixo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esforço operacional supera o ganho.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— regime de apuração distinto; fora do escopo do produto.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Empresa com saldo credor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ela não desembolsa ICMS, logo não há o que compensar. É perfil de potencial detentor/cedente — leve à área técnica, não venda o produto.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opera </w:t>
      </w:r>
      <w:r>
        <w:rPr>
          <w:rFonts w:ascii="Inter" w:hAnsi="Inter"/>
          <w:b/>
          <w:i w:val="0"/>
          <w:color w:val="010860"/>
          <w:sz w:val="20"/>
        </w:rPr>
        <w:t xml:space="preserve">créditos habilitados, por sistemas oficiais e sob homologação da SEFAZ/SP</w:t>
      </w:r>
      <w:r>
        <w:rPr>
          <w:rFonts w:ascii="Inter" w:hAnsi="Inter"/>
          <w:b w:val="0"/>
          <w:i w:val="0"/>
          <w:color w:val="141414"/>
          <w:sz w:val="20"/>
        </w:rPr>
        <w:t xml:space="preserve">, com registro integral (GIA, SPED, Conta Fiscal) e responsabilidade contratual de 5 anos. O executivo nunca promete percentual sem apuração: o que se garante é o rito, a comprovação e a condução técnica.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 pode ser apropriada, utilizada e transferida.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Transferência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operação pela qual o detentor cede crédito acumulado a outro contribuinte, nas hipóteses do RICMS-SP.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Cessionária: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 empresa que recebe o crédito transferido e o utiliza para compensar o próprio ICMS — o nosso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Detentor (cedente):</w:t>
      </w:r>
      <w:r>
        <w:rPr>
          <w:rFonts w:ascii="Inter" w:hAnsi="Inter"/>
          <w:b w:val="0"/>
          <w:i w:val="0"/>
          <w:color w:val="141414"/>
          <w:sz w:val="19"/>
        </w:rPr>
        <w:t xml:space="preserve"> quem acumulou o crédito e o cede com deságio; arca com as despesas do procedimento.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do crédito — é a fonte da economia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"Outros Créditos":</w:t>
      </w:r>
      <w:r>
        <w:rPr>
          <w:rFonts w:ascii="Inter" w:hAnsi="Inter"/>
          <w:b w:val="0"/>
          <w:i w:val="0"/>
          <w:color w:val="141414"/>
          <w:sz w:val="19"/>
        </w:rPr>
        <w:t xml:space="preserve"> campo da GIA onde o crédito transferido é lançado (fundamento: art. 99 do RICMS-SP, conforme material-base).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PRF:</w:t>
      </w:r>
      <w:r>
        <w:rPr>
          <w:rFonts w:ascii="Inter" w:hAnsi="Inter"/>
          <w:b w:val="0"/>
          <w:i w:val="0"/>
          <w:color w:val="141414"/>
          <w:sz w:val="19"/>
        </w:rPr>
        <w:t xml:space="preserve"> formato do arquivo da GIA enviado pelo cliente para o lançamento; devolvemos o arquivo já transmitido.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 — a "conta eletrônica"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espelha a compensação e gera o recibo de entrega (comprovação).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SEFAZ-SP; onde se constata guias quitadas e saldo zerado.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DARE: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recolhimento do saldo remanescente não compensado.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a compensação, autorizando seus efeitos.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 xml:space="preserve"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 do ICMS).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(direito ao crédito) e art. 25 (saldos credores e transferência de crédito acumulado).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acumulado: hipóteses, apropriação, utilização e 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</w:t>
      </w:r>
      <w:r>
        <w:rPr>
          <w:rFonts w:ascii="Inter" w:hAnsi="Inter"/>
          <w:b w:val="0"/>
          <w:i w:val="0"/>
          <w:color w:val="141414"/>
          <w:sz w:val="19"/>
        </w:rPr>
        <w:t xml:space="preserve"> — fundamento do lançamento em "Outros Créditos" na GIA/SPED (conforme material-base da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 (fonte de dados: EFD desde 1º/jan/2026).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Todos os números comerciais (percentual de utilização, deságio/economia e condições) refletem o material-base vigente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 permanecem como PARÂMETRO A VALIDAR em proposta individual, até confirmação da área técnica/comercial da Lucro Ativo.</w:t>
            </w:r>
          </w:p>
        </w:tc>
      </w:tr>
    </w:tbl>
    <w:p>
      <w:pPr>
        <w:spacing w:after="80"/>
      </w:pP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demais direitos creditórios federais admitidos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 e outros créditos admitidos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direitos creditórios federais admitidos</w:t>
      </w:r>
      <w:r>
        <w:rPr>
          <w:rFonts w:ascii="Inter" w:hAnsi="Inter"/>
          <w:b/>
          <w:i w:val="0"/>
          <w:color w:val="010860"/>
          <w:sz w:val="19"/>
        </w:rPr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 E DIREITOS CREDITÓRIOS)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direitos creditórios federais — inclusive precatórios?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Direitos creditórios federais (próprios ou adquiridos — categoria que inclui os precatórios)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direitos creditórios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Direito creditório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reconhecido judicialmente contra a União (categoria que inclui os precatórios),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Números são PARÂMETRO A VALIDAR — </w:t>
      </w:r>
      <w:r>
        <w:rPr>
          <w:rFonts w:ascii="Inter" w:hAnsi="Inter"/>
          <w:b w:val="0"/>
          <w:i w:val="0"/>
          <w:color w:val="141414"/>
          <w:sz w:val="19"/>
        </w:rPr>
        <w:t>percentuais, prazos e honorários dependem do diagnóstico e da confirmação da área técnica/comercial; nenhum foi apresentado como compromisso.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Distinção que separa produto de fraude — no DCF, o cliente só compensa DEPOIS de habilitado no polo ativo como titular de fração do crédito (cessão formal + habilitação no juízo de origem). Compensar "crédito de terceiro" sem habilitação é a prática irregular contra a qual a RFB alerta — nunca confundir as duas na frente do cliente.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Setembro de 2026 · versão 1.3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(v1.3) · Uso Interno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