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340" w:footer="340" w:gutter="0"/>
          <w:cols w:space="720"/>
          <w:docGrid w:linePitch="360"/>
        </w:sectPr>
      </w:pPr>
    </w:p>
    <w:p>
      <w:pPr>
        <w:pStyle w:val="Heading2"/>
      </w:pPr>
      <w:r>
        <w:t>Ficha do Projeto &amp; Controle de Versão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Este documento é o </w:t>
      </w:r>
      <w:r>
        <w:rPr>
          <w:rFonts w:ascii="Inter" w:hAnsi="Inter"/>
          <w:b/>
          <w:i w:val="0"/>
          <w:color w:val="010860"/>
          <w:sz w:val="20"/>
        </w:rPr>
        <w:t>Planejamento de Branding da Lucro Ativo (v1)</w:t>
      </w:r>
      <w:r>
        <w:rPr>
          <w:rFonts w:ascii="Inter" w:hAnsi="Inter"/>
          <w:b w:val="0"/>
          <w:i w:val="0"/>
          <w:color w:val="141414"/>
          <w:sz w:val="20"/>
        </w:rPr>
        <w:t xml:space="preserve"> — um plano de projeto para a construção de marca, organizado em fases, com stakeholders, equipe necessária, orçamento referencial e indicadores. Ele parte do que já existe (o Manual da Marca, o sistema visual navy e os materiais C-level já produzidos) e desenha o caminho para transformar identidade visual em </w:t>
      </w:r>
      <w:r>
        <w:rPr>
          <w:rFonts w:ascii="Inter" w:hAnsi="Inter"/>
          <w:b/>
          <w:i w:val="0"/>
          <w:color w:val="141414"/>
          <w:sz w:val="20"/>
        </w:rPr>
        <w:t>marca como ativo estratégico</w:t>
      </w:r>
      <w:r>
        <w:rPr>
          <w:rFonts w:ascii="Inter" w:hAnsi="Inter"/>
          <w:b w:val="0"/>
          <w:i w:val="0"/>
          <w:color w:val="141414"/>
          <w:sz w:val="20"/>
        </w:rPr>
        <w:t>. É uma minuta para validação da Diretoria e do Conselho.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2608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7030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9"/>
              </w:rPr>
              <w:t>Conteúdo</w:t>
            </w:r>
          </w:p>
        </w:tc>
      </w:tr>
      <w:tr>
        <w:tc>
          <w:tcPr>
            <w:tcW w:type="dxa" w:w="2608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8"/>
              </w:rPr>
              <w:t>Projeto</w:t>
            </w:r>
          </w:p>
        </w:tc>
        <w:tc>
          <w:tcPr>
            <w:tcW w:type="dxa" w:w="7030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8"/>
              </w:rPr>
              <w:t>Construção de Marca (Branding) — Lucro Ativo</w:t>
            </w:r>
          </w:p>
        </w:tc>
      </w:tr>
      <w:tr>
        <w:tc>
          <w:tcPr>
            <w:tcW w:type="dxa" w:w="2608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8"/>
              </w:rPr>
              <w:t>Versão / Data</w:t>
            </w:r>
          </w:p>
        </w:tc>
        <w:tc>
          <w:tcPr>
            <w:tcW w:type="dxa" w:w="7030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8"/>
              </w:rPr>
              <w:t>v1 · 29 de Agosto de 2026</w:t>
            </w:r>
          </w:p>
        </w:tc>
      </w:tr>
      <w:tr>
        <w:tc>
          <w:tcPr>
            <w:tcW w:type="dxa" w:w="2608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8"/>
              </w:rPr>
              <w:t>Autoria</w:t>
            </w:r>
          </w:p>
        </w:tc>
        <w:tc>
          <w:tcPr>
            <w:tcW w:type="dxa" w:w="7030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8"/>
              </w:rPr>
              <w:t>Consultoria de Marca / René (mentor de negócios)</w:t>
            </w:r>
          </w:p>
        </w:tc>
      </w:tr>
      <w:tr>
        <w:tc>
          <w:tcPr>
            <w:tcW w:type="dxa" w:w="2608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8"/>
              </w:rPr>
              <w:t>Patrocínio (Sponsor)</w:t>
            </w:r>
          </w:p>
        </w:tc>
        <w:tc>
          <w:tcPr>
            <w:tcW w:type="dxa" w:w="7030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8"/>
              </w:rPr>
              <w:t>Conselho de Gestão — Lucas dos Santos, Melina F. dos Santos, Vili Neto</w:t>
            </w:r>
          </w:p>
        </w:tc>
      </w:tr>
      <w:tr>
        <w:tc>
          <w:tcPr>
            <w:tcW w:type="dxa" w:w="2608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8"/>
              </w:rPr>
              <w:t>Mentora de Marketing</w:t>
            </w:r>
          </w:p>
        </w:tc>
        <w:tc>
          <w:tcPr>
            <w:tcW w:type="dxa" w:w="7030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8"/>
              </w:rPr>
              <w:t>Melina F. dos Santos (consultiva — formação na área)</w:t>
            </w:r>
          </w:p>
        </w:tc>
      </w:tr>
      <w:tr>
        <w:tc>
          <w:tcPr>
            <w:tcW w:type="dxa" w:w="2608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8"/>
              </w:rPr>
              <w:t>Dono da Marca (Brand Owner)</w:t>
            </w:r>
          </w:p>
        </w:tc>
        <w:tc>
          <w:tcPr>
            <w:tcW w:type="dxa" w:w="7030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8"/>
              </w:rPr>
              <w:t>A DEFINIR — pré-requisito crítico (ver Fase 0 e Nota nº 1)</w:t>
            </w:r>
          </w:p>
        </w:tc>
      </w:tr>
      <w:tr>
        <w:tc>
          <w:tcPr>
            <w:tcW w:type="dxa" w:w="2608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8"/>
              </w:rPr>
              <w:t>Status</w:t>
            </w:r>
          </w:p>
        </w:tc>
        <w:tc>
          <w:tcPr>
            <w:tcW w:type="dxa" w:w="7030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8"/>
              </w:rPr>
              <w:t>Minuta para validação — não constitui compromisso orçamentário até aprovação</w:t>
            </w:r>
          </w:p>
        </w:tc>
      </w:tr>
      <w:tr>
        <w:tc>
          <w:tcPr>
            <w:tcW w:type="dxa" w:w="2608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8"/>
              </w:rPr>
              <w:t>Documentos relacionados</w:t>
            </w:r>
          </w:p>
        </w:tc>
        <w:tc>
          <w:tcPr>
            <w:tcW w:type="dxa" w:w="7030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8"/>
              </w:rPr>
              <w:t>Documento Mestre de Governança v2; Padrão de Documento de Área &amp; Playbook v1; Kit de Marca Pessoal; Especificação do Simulador Comercial v1.3</w:t>
            </w:r>
          </w:p>
        </w:tc>
      </w:tr>
    </w:tbl>
    <w:p>
      <w:pPr>
        <w:spacing w:after="40"/>
      </w:pPr>
    </w:p>
    <w:p>
      <w:pPr>
        <w:spacing w:before="40" w:after="200"/>
        <w:jc w:val="center"/>
      </w:pPr>
      <w:r>
        <w:rPr>
          <w:rFonts w:ascii="Inter" w:hAnsi="Inter"/>
          <w:i/>
          <w:color w:val="5A5A5A"/>
          <w:sz w:val="17"/>
        </w:rPr>
        <w:t>Este plano dialoga com a governança já aprovada: a marca é uma das áreas transversais que o Documento Mestre e o Padrão de Área organizam.</w:t>
      </w:r>
    </w:p>
    <w:p>
      <w:r>
        <w:br w:type="page"/>
      </w:r>
    </w:p>
    <w:p>
      <w:pPr>
        <w:pStyle w:val="Heading1"/>
      </w:pPr>
      <w:r>
        <w:t>Sumário Executivo (C-Level)</w:t>
      </w:r>
    </w:p>
    <w:p>
      <w:pPr>
        <w:spacing w:after="40" w:before="80"/>
      </w:pPr>
      <w:r>
        <w:rPr>
          <w:rFonts w:ascii="Montserrat" w:hAnsi="Montserrat"/>
          <w:b/>
          <w:color w:val="7A5A1E"/>
          <w:sz w:val="17"/>
          <w:spacing w:val="40"/>
        </w:rPr>
        <w:t>LEITURA ESTRATÉGICA · COMO MENTOR DE NEGÓCIOS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1"/>
        </w:rPr>
        <w:t xml:space="preserve">A tese central deste plano é uma distinção que muda para onde vai o investimento: a Lucro Ativo </w:t>
      </w:r>
      <w:r>
        <w:rPr>
          <w:rFonts w:ascii="Inter" w:hAnsi="Inter"/>
          <w:b/>
          <w:i w:val="0"/>
          <w:color w:val="010860"/>
          <w:sz w:val="21"/>
        </w:rPr>
        <w:t>não precisa de um rebrand — precisa de construção de marca (brand building)</w:t>
      </w:r>
      <w:r>
        <w:rPr>
          <w:rFonts w:ascii="Inter" w:hAnsi="Inter"/>
          <w:b w:val="0"/>
          <w:i w:val="0"/>
          <w:color w:val="141414"/>
          <w:sz w:val="21"/>
        </w:rPr>
        <w:t xml:space="preserve">. A identidade visual já existe e é forte (Manual da Marca, navy #010860, Montserrat/Inter, e uma série de materiais C-level já produzidos). O que falta não é logo novo: é </w:t>
      </w:r>
      <w:r>
        <w:rPr>
          <w:rFonts w:ascii="Inter" w:hAnsi="Inter"/>
          <w:b/>
          <w:i w:val="0"/>
          <w:color w:val="141414"/>
          <w:sz w:val="21"/>
        </w:rPr>
        <w:t>presença, percepção, consistência e autoridade</w:t>
      </w:r>
      <w:r>
        <w:rPr>
          <w:rFonts w:ascii="Inter" w:hAnsi="Inter"/>
          <w:b w:val="0"/>
          <w:i w:val="0"/>
          <w:color w:val="141414"/>
          <w:sz w:val="21"/>
        </w:rPr>
        <w:t xml:space="preserve"> — a marca vista, lembrada e preferida pelo mercado que decide.</w:t>
      </w:r>
    </w:p>
    <w:p>
      <w:pPr>
        <w:spacing w:after="120" w:before="0"/>
      </w:pPr>
      <w:r>
        <w:rPr>
          <w:rFonts w:ascii="Inter" w:hAnsi="Inter"/>
          <w:b/>
          <w:i w:val="0"/>
          <w:color w:val="010860"/>
          <w:sz w:val="21"/>
        </w:rPr>
        <w:t xml:space="preserve">Onde a marca está hoje: </w:t>
      </w:r>
      <w:r>
        <w:rPr>
          <w:rFonts w:ascii="Inter" w:hAnsi="Inter"/>
          <w:b w:val="0"/>
          <w:i w:val="0"/>
          <w:color w:val="141414"/>
          <w:sz w:val="21"/>
        </w:rPr>
        <w:t>um sistema visual sólido e materiais impecáveis, mas com presença digital fraca, tom de voz não documentado, arquitetura de marca (Lucro Ativo × Grupo Studio × produtos) ainda não decidida, marca pessoal de 14 executivos e ~82 parceiros sem padrão, e — o gargalo — sem um dono interno da marca. É a mesma assinatura estrutural que aparece no resto da operação: fundação boa, faltando dono e clareza de papel.</w:t>
      </w:r>
    </w:p>
    <w:p>
      <w:pPr>
        <w:spacing w:after="120" w:before="0"/>
      </w:pPr>
      <w:r>
        <w:rPr>
          <w:rFonts w:ascii="Inter" w:hAnsi="Inter"/>
          <w:b/>
          <w:i w:val="0"/>
          <w:color w:val="010860"/>
          <w:sz w:val="21"/>
        </w:rPr>
        <w:t xml:space="preserve">A aposta: </w:t>
      </w:r>
      <w:r>
        <w:rPr>
          <w:rFonts w:ascii="Inter" w:hAnsi="Inter"/>
          <w:b w:val="0"/>
          <w:i w:val="0"/>
          <w:color w:val="141414"/>
          <w:sz w:val="21"/>
        </w:rPr>
        <w:t>transformar a travessia da Reforma Tributária (EC 132/2023) na plataforma de autoridade da marca, construir presença institucional para C-level e para o setor público (linha IRRF/Municípios), e converter parceiros e executivos em amplificadores da marca — não em ruído. Feito com método, isso reduz o custo de aquisição (marca forte encurta o ciclo de venda) e protege a margem (marca gera preço).</w:t>
      </w:r>
    </w:p>
    <w:p>
      <w:pPr>
        <w:spacing w:before="40" w:after="160"/>
        <w:pBdr>
          <w:bottom w:val="single" w:sz="6" w:space="1" w:color="C6A15B"/>
        </w:pBdr>
      </w:pPr>
    </w:p>
    <w:p>
      <w:pPr>
        <w:spacing w:after="40" w:before="80"/>
      </w:pPr>
      <w:r>
        <w:rPr>
          <w:rFonts w:ascii="Montserrat" w:hAnsi="Montserrat"/>
          <w:b/>
          <w:color w:val="7A5A1E"/>
          <w:sz w:val="17"/>
          <w:spacing w:val="40"/>
        </w:rPr>
        <w:t>AS 3 DECISÕES QUE DESTRAVAM O PROJETO (CONSELHO)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9"/>
              </w:rPr>
              <w:t>#</w:t>
            </w:r>
          </w:p>
        </w:tc>
        <w:tc>
          <w:tcPr>
            <w:tcW w:type="dxa" w:w="2948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9"/>
              </w:rPr>
              <w:t>Decisão</w:t>
            </w:r>
          </w:p>
        </w:tc>
        <w:tc>
          <w:tcPr>
            <w:tcW w:type="dxa" w:w="5329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9"/>
              </w:rPr>
              <w:t>Por que vem primeiro</w:t>
            </w:r>
          </w:p>
        </w:tc>
        <w:tc>
          <w:tcPr>
            <w:tcW w:type="dxa" w:w="907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9"/>
              </w:rPr>
              <w:t>Nota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1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Nomear o Dono da Marca (Brand Owner interno)</w:t>
            </w:r>
          </w:p>
        </w:tc>
        <w:tc>
          <w:tcPr>
            <w:tcW w:type="dxa" w:w="5329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Terceirizar a marca sem um dono interno que faz o briefing e cobra o fornecedor gera material genérico e perda de controle. É o mesmo alerta do marketing no Planejamento.</w:t>
            </w:r>
          </w:p>
        </w:tc>
        <w:tc>
          <w:tcPr>
            <w:tcW w:type="dxa" w:w="907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Nº 1</w:t>
            </w:r>
          </w:p>
        </w:tc>
      </w:tr>
      <w:tr>
        <w:tc>
          <w:tcPr>
            <w:tcW w:type="dxa" w:w="454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2</w:t>
            </w:r>
          </w:p>
        </w:tc>
        <w:tc>
          <w:tcPr>
            <w:tcW w:type="dxa" w:w="2948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Decidir a arquitetura de marca (LA × Grupo Studio × produtos)</w:t>
            </w:r>
          </w:p>
        </w:tc>
        <w:tc>
          <w:tcPr>
            <w:tcW w:type="dxa" w:w="5329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Define como a marca-mãe endossa os produtos e como o selo do Grupo Studio aparece. Investir em ativação antes disso gera retrabalho e dilui a marca.</w:t>
            </w:r>
          </w:p>
        </w:tc>
        <w:tc>
          <w:tcPr>
            <w:tcW w:type="dxa" w:w="907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Nº 2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3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Proteger a marca (registro INPI)</w:t>
            </w:r>
          </w:p>
        </w:tc>
        <w:tc>
          <w:tcPr>
            <w:tcW w:type="dxa" w:w="5329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Antes de investir em visibilidade, garantir a titularidade de "Lucro Ativo" e dos nomes de produto. Visibilidade sem registro é risco.</w:t>
            </w:r>
          </w:p>
        </w:tc>
        <w:tc>
          <w:tcPr>
            <w:tcW w:type="dxa" w:w="907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Nº 4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rFonts w:ascii="Inter" w:hAnsi="Inter"/>
          <w:b/>
          <w:i w:val="0"/>
          <w:color w:val="010860"/>
          <w:sz w:val="20"/>
        </w:rPr>
        <w:t xml:space="preserve">Sequência recomendada: </w:t>
      </w:r>
      <w:r>
        <w:rPr>
          <w:rFonts w:ascii="Inter" w:hAnsi="Inter"/>
          <w:b w:val="0"/>
          <w:i w:val="0"/>
          <w:color w:val="141414"/>
          <w:sz w:val="20"/>
        </w:rPr>
        <w:t>(i) Fase 0 nomeia o dono e trava o make-or-buy; (ii) a auditoria de marca mede a percepção real (não a suposta); (iii) a estratégia fecha posicionamento e arquitetura; (iv) o sistema de identidade documenta o que hoje é tácito; (v) a ativação leva a marca ao mercado; (vi) a governança mantém a consistência. Núcleo de ~8 meses, depois gestão contínua.</w:t>
      </w:r>
    </w:p>
    <w:p>
      <w:pPr>
        <w:spacing w:before="40" w:after="160"/>
        <w:pBdr>
          <w:bottom w:val="single" w:sz="6" w:space="1" w:color="C6A15B"/>
        </w:pBdr>
      </w:pPr>
    </w:p>
    <w:p>
      <w:pPr>
        <w:spacing w:after="40" w:before="80"/>
      </w:pPr>
      <w:r>
        <w:rPr>
          <w:rFonts w:ascii="Montserrat" w:hAnsi="Montserrat"/>
          <w:b/>
          <w:color w:val="7A5A1E"/>
          <w:sz w:val="17"/>
          <w:spacing w:val="40"/>
        </w:rPr>
        <w:t>COMO LER ESTE DOCUMENTO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20"/>
        </w:rPr>
        <w:t xml:space="preserve">Notas do Mentor [Nº] — </w:t>
      </w:r>
      <w:r>
        <w:rPr>
          <w:rFonts w:ascii="Inter" w:hAnsi="Inter"/>
          <w:b w:val="0"/>
          <w:i w:val="0"/>
          <w:color w:val="141414"/>
          <w:sz w:val="20"/>
        </w:rPr>
        <w:t>comentários críticos numerados e classificados em CRÍTICO / ATENÇÃO / CONTROLE / ESTRATÉGICO, ao lado do trecho que comentam e consolidados no Anexo A.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7A5A1E"/>
          <w:sz w:val="20"/>
        </w:rPr>
        <w:t xml:space="preserve">Blocos PROPOSTA (dourado) — </w:t>
      </w:r>
      <w:r>
        <w:rPr>
          <w:rFonts w:ascii="Inter" w:hAnsi="Inter"/>
          <w:b w:val="0"/>
          <w:i w:val="0"/>
          <w:color w:val="141414"/>
          <w:sz w:val="20"/>
        </w:rPr>
        <w:t>conteúdos sugeridos que exigem validação da gestão/Conselho antes de virarem compromisso (ex.: orçamento, prazos, taglines).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141414"/>
          <w:sz w:val="20"/>
        </w:rPr>
        <w:t xml:space="preserve">"PARÂMETRO A VALIDAR" — </w:t>
      </w:r>
      <w:r>
        <w:rPr>
          <w:rFonts w:ascii="Inter" w:hAnsi="Inter"/>
          <w:b w:val="0"/>
          <w:i w:val="0"/>
          <w:color w:val="141414"/>
          <w:sz w:val="20"/>
        </w:rPr>
        <w:t>todo número (orçamento, prazo, meta) é referencial de mercado, não cotação fechada.</w:t>
      </w:r>
    </w:p>
    <w:p>
      <w:r>
        <w:br w:type="page"/>
      </w:r>
    </w:p>
    <w:p>
      <w:pPr>
        <w:pStyle w:val="Heading1"/>
      </w:pPr>
      <w:r>
        <w:t>Sumário Geral</w:t>
      </w:r>
    </w:p>
    <w:p>
      <w:pPr>
        <w:spacing w:after="120" w:before="0"/>
      </w:pPr>
      <w:r>
        <w:rPr>
          <w:rFonts w:ascii="Inter" w:hAnsi="Inter"/>
          <w:b w:val="0"/>
          <w:i/>
          <w:color w:val="5A5A5A"/>
          <w:sz w:val="18"/>
        </w:rPr>
        <w:t>Sumário automático — no Word, clique com o botão direito e selecione "Atualizar campo" para gerar a paginação.</w:t>
      </w:r>
    </w:p>
    <w:p>
      <w:r>
        <w:fldChar w:fldCharType="begin"/>
        <w:instrText xml:space="preserve">TOC \o "1-2" \h \z \u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PARTE I — Diagnóstico de Marca (Onde estamos)</w:t>
      </w:r>
    </w:p>
    <w:p>
      <w:pPr>
        <w:pStyle w:val="Heading2"/>
      </w:pPr>
      <w:r>
        <w:t>1. O que é este projeto — e o que NÃO é</w:t>
      </w:r>
    </w:p>
    <w:p>
      <w:pPr>
        <w:spacing w:after="120" w:before="0"/>
      </w:pPr>
      <w:r>
        <w:rPr>
          <w:rFonts w:ascii="Inter" w:hAnsi="Inter"/>
          <w:b/>
          <w:i w:val="0"/>
          <w:color w:val="010860"/>
          <w:sz w:val="21"/>
        </w:rPr>
        <w:t xml:space="preserve">Branding não é logotipo. </w:t>
      </w:r>
      <w:r>
        <w:rPr>
          <w:rFonts w:ascii="Inter" w:hAnsi="Inter"/>
          <w:b w:val="0"/>
          <w:i w:val="0"/>
          <w:color w:val="141414"/>
          <w:sz w:val="21"/>
        </w:rPr>
        <w:t>Marca é a percepção que o mercado tem da empresa — o que dizem da Lucro Ativo quando ninguém do escritório está na sala. A identidade visual (logo, cor, tipografia) é apenas a ponta visível de um ativo maior, formado por três camadas: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3100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mad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Inter" w:hAnsi="Inter"/>
          <w:i/>
          <w:color w:val="5A5A5A"/>
          <w:sz w:val="17"/>
        </w:rPr>
        <w:t>A identidade visual já é forte; o projeto foca as camadas verbal e estratégica — as que constroem autoridade e preferência.</w:t>
      </w:r>
    </w:p>
    <w:p>
      <w:pPr>
        <w:spacing w:after="120" w:before="0"/>
      </w:pPr>
      <w:r>
        <w:rPr>
          <w:rFonts w:ascii="Inter" w:hAnsi="Inter"/>
          <w:b/>
          <w:i w:val="0"/>
          <w:color w:val="141414"/>
          <w:sz w:val="21"/>
        </w:rPr>
        <w:t xml:space="preserve">Consequência prática: </w:t>
      </w:r>
      <w:r>
        <w:rPr>
          <w:rFonts w:ascii="Inter" w:hAnsi="Inter"/>
          <w:b w:val="0"/>
          <w:i w:val="0"/>
          <w:color w:val="141414"/>
          <w:sz w:val="21"/>
        </w:rPr>
        <w:t>este projeto investe pouco em "desenhar de novo" e muito em estratégia, narrativa, presença e consistência. É construção de marca, não maquiagem.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F5F6FC"/>
            <w:tcBorders>
              <w:top w:val="single" w:sz="4" w:space="0" w:color="D8DBEC"/>
              <w:bottom w:val="single" w:sz="4" w:space="0" w:color="D8DBEC"/>
              <w:right w:val="single" w:sz="4" w:space="0" w:color="D8DBEC"/>
              <w:left w:val="single" w:sz="26" w:space="0" w:color="010860"/>
            </w:tcBorders>
            <w:tcMar>
              <w:top w:w="120" w:type="dxa"/>
              <w:bottom w:w="120" w:type="dxa"/>
              <w:start w:w="200" w:type="dxa"/>
              <w:end w:w="180" w:type="dxa"/>
            </w:tcMar>
          </w:tcPr>
          <w:p>
            <w:pPr>
              <w:spacing w:after="80" w:line="264" w:lineRule="auto"/>
            </w:pPr>
            <w:r/>
            <w:r>
              <w:rPr>
                <w:rFonts w:ascii="Montserrat" w:hAnsi="Montserrat"/>
                <w:b/>
                <w:color w:val="010860"/>
                <w:sz w:val="22"/>
              </w:rPr>
              <w:t xml:space="preserve">NOTA DO MENTOR Nº 3   </w:t>
            </w:r>
            <w:r>
              <w:rPr>
                <w:rFonts w:ascii="Inter" w:hAnsi="Inter"/>
                <w:b/>
                <w:color w:val="1F618D"/>
                <w:sz w:val="16"/>
              </w:rPr>
              <w:t xml:space="preserve"> CONTROLE </w:t>
            </w:r>
          </w:p>
          <w:p>
            <w:pPr>
              <w:spacing w:after="100" w:before="0"/>
            </w:pPr>
            <w:r>
              <w:rPr>
                <w:rFonts w:ascii="Montserrat" w:hAnsi="Montserrat"/>
                <w:b/>
                <w:color w:val="141414"/>
                <w:sz w:val="22"/>
              </w:rPr>
              <w:t>Não é rebrand — é brand building. Cuidado para não gastar no lugar errado.</w:t>
            </w:r>
          </w:p>
          <w:p>
            <w:pPr>
              <w:spacing w:after="60" w:line="293" w:lineRule="auto"/>
            </w:pPr>
            <w:r>
              <w:rPr>
                <w:rFonts w:ascii="Inter" w:hAnsi="Inter"/>
                <w:b w:val="0"/>
                <w:i w:val="0"/>
                <w:color w:val="2A2A2A"/>
                <w:sz w:val="19"/>
              </w:rPr>
              <w:t xml:space="preserve">A tentação em projetos de marca é começar pelo redesenho do logo — é o entregável mais visível e o mais fácil de aprovar. Seria um erro aqui: a identidade visual da Lucro Ativo </w:t>
            </w:r>
            <w:r>
              <w:rPr>
                <w:rFonts w:ascii="Inter" w:hAnsi="Inter"/>
                <w:b/>
                <w:i w:val="0"/>
                <w:color w:val="2A2A2A"/>
                <w:sz w:val="19"/>
              </w:rPr>
              <w:t>já cumpre o papel</w:t>
            </w:r>
            <w:r>
              <w:rPr>
                <w:rFonts w:ascii="Inter" w:hAnsi="Inter"/>
                <w:b w:val="0"/>
                <w:i w:val="0"/>
                <w:color w:val="2A2A2A"/>
                <w:sz w:val="19"/>
              </w:rPr>
              <w:t xml:space="preserve"> (é sóbria, C-level, consistente nos materiais que produzimos). </w:t>
            </w:r>
          </w:p>
          <w:p>
            <w:pPr>
              <w:spacing w:after="60" w:line="293" w:lineRule="auto"/>
            </w:pPr>
            <w:r>
              <w:rPr>
                <w:rFonts w:ascii="Inter" w:hAnsi="Inter"/>
                <w:b/>
                <w:i w:val="0"/>
                <w:color w:val="010860"/>
                <w:sz w:val="19"/>
              </w:rPr>
              <w:t xml:space="preserve">Recomendação: </w:t>
            </w:r>
            <w:r>
              <w:rPr>
                <w:rFonts w:ascii="Inter" w:hAnsi="Inter"/>
                <w:b w:val="0"/>
                <w:i w:val="0"/>
                <w:color w:val="2A2A2A"/>
                <w:sz w:val="19"/>
              </w:rPr>
              <w:t>congelar a identidade visual atual como base e direcionar o orçamento para posicionamento, presença digital, conteúdo de autoridade e governança. Redesenho só entra se a auditoria (Fase 1) apontar um problema real de percepção — não por impulso estético.</w:t>
            </w:r>
          </w:p>
        </w:tc>
      </w:tr>
    </w:tbl>
    <w:p>
      <w:pPr>
        <w:spacing w:after="80"/>
      </w:pPr>
    </w:p>
    <w:p>
      <w:pPr>
        <w:pStyle w:val="Heading2"/>
      </w:pPr>
      <w:r>
        <w:t>2. Diagnóstico da marca atual — inventário × lacunas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1"/>
        </w:rPr>
        <w:t>O ponto de partida é melhor do que a maioria das empresas do porte: há um Manual da Marca, um sistema visual consistente e uma biblioteca crescente de materiais no padrão C-level. Os gaps concentram-se nas camadas verbal e estratégica e na gestão da marca.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2608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9"/>
              </w:rPr>
              <w:t>Dimensão de marca</w:t>
            </w:r>
          </w:p>
        </w:tc>
        <w:tc>
          <w:tcPr>
            <w:tcW w:type="dxa" w:w="3515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9"/>
              </w:rPr>
              <w:t>Estado atual</w:t>
            </w:r>
          </w:p>
        </w:tc>
        <w:tc>
          <w:tcPr>
            <w:tcW w:type="dxa" w:w="3515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9"/>
              </w:rPr>
              <w:t>Lacuna a tratar</w:t>
            </w:r>
          </w:p>
        </w:tc>
      </w:tr>
      <w:tr>
        <w:tc>
          <w:tcPr>
            <w:tcW w:type="dxa" w:w="2608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Identidade visual (logo, cor, tipografia)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Forte — Manual da Marca, SVG navy/branco, navy #010860, Montserrat/Inter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Completar como design system (aplicações, ícones, grids, templates)</w:t>
            </w:r>
          </w:p>
        </w:tc>
      </w:tr>
      <w:tr>
        <w:tc>
          <w:tcPr>
            <w:tcW w:type="dxa" w:w="2608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Materiais &amp; apresentações</w:t>
            </w:r>
          </w:p>
        </w:tc>
        <w:tc>
          <w:tcPr>
            <w:tcW w:type="dxa" w:w="3515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Excelente — decks, dossiês, contratos e specs já padronizados</w:t>
            </w:r>
          </w:p>
        </w:tc>
        <w:tc>
          <w:tcPr>
            <w:tcW w:type="dxa" w:w="3515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Centralizar em biblioteca única e travar via governança</w:t>
            </w:r>
          </w:p>
        </w:tc>
      </w:tr>
      <w:tr>
        <w:tc>
          <w:tcPr>
            <w:tcW w:type="dxa" w:w="2608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Posicionamento &amp; narrativa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Implícito — existe na prática, não documentado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Formalizar posicionamento, proposta de valor e messaging</w:t>
            </w:r>
          </w:p>
        </w:tc>
      </w:tr>
      <w:tr>
        <w:tc>
          <w:tcPr>
            <w:tcW w:type="dxa" w:w="2608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Tom de voz (identidade verbal)</w:t>
            </w:r>
          </w:p>
        </w:tc>
        <w:tc>
          <w:tcPr>
            <w:tcW w:type="dxa" w:w="3515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Não documentado</w:t>
            </w:r>
          </w:p>
        </w:tc>
        <w:tc>
          <w:tcPr>
            <w:tcW w:type="dxa" w:w="3515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Criar guia de tom de voz e naming de produtos</w:t>
            </w:r>
          </w:p>
        </w:tc>
      </w:tr>
      <w:tr>
        <w:tc>
          <w:tcPr>
            <w:tcW w:type="dxa" w:w="2608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Arquitetura de marca (LA × GS × produtos)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Indefinida — materiais ora "LA", ora "LA+GS"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Decidir modelo (masterbrand endossado) — ver seção 3</w:t>
            </w:r>
          </w:p>
        </w:tc>
      </w:tr>
      <w:tr>
        <w:tc>
          <w:tcPr>
            <w:tcW w:type="dxa" w:w="2608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Presença digital (site, redes)</w:t>
            </w:r>
          </w:p>
        </w:tc>
        <w:tc>
          <w:tcPr>
            <w:tcW w:type="dxa" w:w="3515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Fraca / dispersa</w:t>
            </w:r>
          </w:p>
        </w:tc>
        <w:tc>
          <w:tcPr>
            <w:tcW w:type="dxa" w:w="3515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Site institucional, LinkedIn corporativo, conteúdo de autoridade</w:t>
            </w:r>
          </w:p>
        </w:tc>
      </w:tr>
      <w:tr>
        <w:tc>
          <w:tcPr>
            <w:tcW w:type="dxa" w:w="2608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Marca pessoal (executivos/parceiros)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Sem padrão — 14 executivos + ~82 parceiros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Kit de Marca Pessoal + amplificação (já iniciado)</w:t>
            </w:r>
          </w:p>
        </w:tc>
      </w:tr>
      <w:tr>
        <w:tc>
          <w:tcPr>
            <w:tcW w:type="dxa" w:w="2608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Reputação &amp; autoridade</w:t>
            </w:r>
          </w:p>
        </w:tc>
        <w:tc>
          <w:tcPr>
            <w:tcW w:type="dxa" w:w="3515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Sub-explorada</w:t>
            </w:r>
          </w:p>
        </w:tc>
        <w:tc>
          <w:tcPr>
            <w:tcW w:type="dxa" w:w="3515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Thought leadership na Reforma Tributária e no setor público</w:t>
            </w:r>
          </w:p>
        </w:tc>
      </w:tr>
      <w:tr>
        <w:tc>
          <w:tcPr>
            <w:tcW w:type="dxa" w:w="2608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Registro / proteção (INPI)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A confirmar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Registrar marca-mãe e nomes de produto</w:t>
            </w:r>
          </w:p>
        </w:tc>
      </w:tr>
      <w:tr>
        <w:tc>
          <w:tcPr>
            <w:tcW w:type="dxa" w:w="2608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Governança de marca</w:t>
            </w:r>
          </w:p>
        </w:tc>
        <w:tc>
          <w:tcPr>
            <w:tcW w:type="dxa" w:w="3515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Inexistente</w:t>
            </w:r>
          </w:p>
        </w:tc>
        <w:tc>
          <w:tcPr>
            <w:tcW w:type="dxa" w:w="3515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Brand owner + brand book vivo + fluxo de aprovação</w:t>
            </w:r>
          </w:p>
        </w:tc>
      </w:tr>
    </w:tbl>
    <w:p>
      <w:pPr>
        <w:spacing w:after="40"/>
      </w:pPr>
    </w:p>
    <w:p>
      <w:pPr>
        <w:spacing w:before="40" w:after="200"/>
        <w:jc w:val="center"/>
      </w:pPr>
      <w:r>
        <w:rPr>
          <w:rFonts w:ascii="Inter" w:hAnsi="Inter"/>
          <w:i/>
          <w:color w:val="5A5A5A"/>
          <w:sz w:val="17"/>
        </w:rPr>
        <w:t>Diagnóstico preliminar do consultor — a Fase 1 (auditoria) confirma e prioriza cada linha com dado real de percepção.</w:t>
      </w:r>
    </w:p>
    <w:p>
      <w:r>
        <w:br w:type="page"/>
      </w:r>
    </w:p>
    <w:p>
      <w:pPr>
        <w:pStyle w:val="Heading2"/>
      </w:pPr>
      <w:r>
        <w:t>3. Arquitetura de marca — a decisão estrutural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1"/>
        </w:rPr>
        <w:t xml:space="preserve">Antes de investir em visibilidade, é preciso decidir </w:t>
      </w:r>
      <w:r>
        <w:rPr>
          <w:rFonts w:ascii="Inter" w:hAnsi="Inter"/>
          <w:b/>
          <w:i w:val="0"/>
          <w:color w:val="010860"/>
          <w:sz w:val="21"/>
        </w:rPr>
        <w:t>como as marcas se relacionam</w:t>
      </w:r>
      <w:r>
        <w:rPr>
          <w:rFonts w:ascii="Inter" w:hAnsi="Inter"/>
          <w:b w:val="0"/>
          <w:i w:val="0"/>
          <w:color w:val="141414"/>
          <w:sz w:val="21"/>
        </w:rPr>
        <w:t xml:space="preserve">. Há três modelos clássicos: </w:t>
      </w:r>
      <w:r>
        <w:rPr>
          <w:rFonts w:ascii="Inter" w:hAnsi="Inter"/>
          <w:b/>
          <w:i w:val="0"/>
          <w:color w:val="141414"/>
          <w:sz w:val="21"/>
        </w:rPr>
        <w:t>monolítica</w:t>
      </w:r>
      <w:r>
        <w:rPr>
          <w:rFonts w:ascii="Inter" w:hAnsi="Inter"/>
          <w:b w:val="0"/>
          <w:i w:val="0"/>
          <w:color w:val="141414"/>
          <w:sz w:val="21"/>
        </w:rPr>
        <w:t xml:space="preserve"> (uma só marca para tudo), </w:t>
      </w:r>
      <w:r>
        <w:rPr>
          <w:rFonts w:ascii="Inter" w:hAnsi="Inter"/>
          <w:b/>
          <w:i w:val="0"/>
          <w:color w:val="141414"/>
          <w:sz w:val="21"/>
        </w:rPr>
        <w:t>endossada</w:t>
      </w:r>
      <w:r>
        <w:rPr>
          <w:rFonts w:ascii="Inter" w:hAnsi="Inter"/>
          <w:b w:val="0"/>
          <w:i w:val="0"/>
          <w:color w:val="141414"/>
          <w:sz w:val="21"/>
        </w:rPr>
        <w:t xml:space="preserve"> (a marca-mãe assina os produtos) e </w:t>
      </w:r>
      <w:r>
        <w:rPr>
          <w:rFonts w:ascii="Inter" w:hAnsi="Inter"/>
          <w:b/>
          <w:i w:val="0"/>
          <w:color w:val="141414"/>
          <w:sz w:val="21"/>
        </w:rPr>
        <w:t>casa de marcas</w:t>
      </w:r>
      <w:r>
        <w:rPr>
          <w:rFonts w:ascii="Inter" w:hAnsi="Inter"/>
          <w:b w:val="0"/>
          <w:i w:val="0"/>
          <w:color w:val="141414"/>
          <w:sz w:val="21"/>
        </w:rPr>
        <w:t xml:space="preserve"> (marcas independentes). Para a Lucro Ativo, a recomendação é o modelo </w:t>
      </w:r>
      <w:r>
        <w:rPr>
          <w:rFonts w:ascii="Inter" w:hAnsi="Inter"/>
          <w:b/>
          <w:i w:val="0"/>
          <w:color w:val="010860"/>
          <w:sz w:val="21"/>
        </w:rPr>
        <w:t>endossado</w:t>
      </w:r>
      <w:r>
        <w:rPr>
          <w:rFonts w:ascii="Inter" w:hAnsi="Inter"/>
          <w:b w:val="0"/>
          <w:i w:val="0"/>
          <w:color w:val="141414"/>
          <w:sz w:val="21"/>
        </w:rPr>
        <w:t>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31328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3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Inter" w:hAnsi="Inter"/>
          <w:i/>
          <w:color w:val="5A5A5A"/>
          <w:sz w:val="17"/>
        </w:rPr>
        <w:t>Proposta: Lucro Ativo como marca-mãe endossando os produtos, com o Grupo Studio em co-marca controlada (selo GS) — a marca-mãe conduz.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21"/>
        </w:rPr>
        <w:t>Lucro Ativo é a marca-mãe</w:t>
      </w:r>
      <w:r>
        <w:rPr>
          <w:rFonts w:ascii="Inter" w:hAnsi="Inter"/>
          <w:b w:val="0"/>
          <w:i w:val="0"/>
          <w:color w:val="141414"/>
          <w:sz w:val="21"/>
        </w:rPr>
        <w:t xml:space="preserve"> — carrega a reputação e a confiança; é o que o cliente contrata.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141414"/>
          <w:sz w:val="21"/>
        </w:rPr>
        <w:t>Os produtos são endossados</w:t>
      </w:r>
      <w:r>
        <w:rPr>
          <w:rFonts w:ascii="Inter" w:hAnsi="Inter"/>
          <w:b w:val="0"/>
          <w:i w:val="0"/>
          <w:color w:val="141414"/>
          <w:sz w:val="21"/>
        </w:rPr>
        <w:t xml:space="preserve"> — PGFN, ICMS-SP, DCF, IRRF e teses de folha ganham nome próprio, mas sempre "por Lucro Ativo". Facilita venda cruzada e clareza.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141414"/>
          <w:sz w:val="21"/>
        </w:rPr>
        <w:t>O Grupo Studio entra como co-marca controlada</w:t>
      </w:r>
      <w:r>
        <w:rPr>
          <w:rFonts w:ascii="Inter" w:hAnsi="Inter"/>
          <w:b w:val="0"/>
          <w:i w:val="0"/>
          <w:color w:val="141414"/>
          <w:sz w:val="21"/>
        </w:rPr>
        <w:t xml:space="preserve"> — as soluções complementares aparecem SOB a marca Lucro Ativo, com selo pequeno do GS. A marca-mãe conduz; o fornecedor endossa. Nunca o inverso.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F5F6FC"/>
            <w:tcBorders>
              <w:top w:val="single" w:sz="4" w:space="0" w:color="D8DBEC"/>
              <w:bottom w:val="single" w:sz="4" w:space="0" w:color="D8DBEC"/>
              <w:right w:val="single" w:sz="4" w:space="0" w:color="D8DBEC"/>
              <w:left w:val="single" w:sz="26" w:space="0" w:color="010860"/>
            </w:tcBorders>
            <w:tcMar>
              <w:top w:w="120" w:type="dxa"/>
              <w:bottom w:w="120" w:type="dxa"/>
              <w:start w:w="200" w:type="dxa"/>
              <w:end w:w="180" w:type="dxa"/>
            </w:tcMar>
          </w:tcPr>
          <w:p>
            <w:pPr>
              <w:spacing w:after="80" w:line="264" w:lineRule="auto"/>
            </w:pPr>
            <w:r/>
            <w:r>
              <w:rPr>
                <w:rFonts w:ascii="Montserrat" w:hAnsi="Montserrat"/>
                <w:b/>
                <w:color w:val="010860"/>
                <w:sz w:val="22"/>
              </w:rPr>
              <w:t xml:space="preserve">NOTA DO MENTOR Nº 2   </w:t>
            </w:r>
            <w:r>
              <w:rPr>
                <w:rFonts w:ascii="Inter" w:hAnsi="Inter"/>
                <w:b/>
                <w:color w:val="C0392B"/>
                <w:sz w:val="16"/>
              </w:rPr>
              <w:t xml:space="preserve"> CRÍTICO </w:t>
            </w:r>
          </w:p>
          <w:p>
            <w:pPr>
              <w:spacing w:after="100" w:before="0"/>
            </w:pPr>
            <w:r>
              <w:rPr>
                <w:rFonts w:ascii="Montserrat" w:hAnsi="Montserrat"/>
                <w:b/>
                <w:color w:val="141414"/>
                <w:sz w:val="22"/>
              </w:rPr>
              <w:t>Decidir a arquitetura antes de ativar — senão a marca Lucro Ativo se dilui atrás do fornecedor.</w:t>
            </w:r>
          </w:p>
          <w:p>
            <w:pPr>
              <w:spacing w:after="60" w:line="293" w:lineRule="auto"/>
            </w:pPr>
            <w:r>
              <w:rPr>
                <w:rFonts w:ascii="Inter" w:hAnsi="Inter"/>
                <w:b w:val="0"/>
                <w:i w:val="0"/>
                <w:color w:val="2A2A2A"/>
                <w:sz w:val="19"/>
              </w:rPr>
              <w:t xml:space="preserve">Nos materiais recentes o Grupo Studio aparece ora como parceiro, ora quase como co-titular ("LA+GS", "Studio Gold"). Sem uma regra de arquitetura, cada peça decide sozinha — e o risco é a </w:t>
            </w:r>
            <w:r>
              <w:rPr>
                <w:rFonts w:ascii="Inter" w:hAnsi="Inter"/>
                <w:b/>
                <w:i w:val="0"/>
                <w:color w:val="2A2A2A"/>
                <w:sz w:val="19"/>
              </w:rPr>
              <w:t>marca que o cliente contrata (Lucro Ativo) ficar subordinada visualmente ao fornecedor</w:t>
            </w:r>
            <w:r>
              <w:rPr>
                <w:rFonts w:ascii="Inter" w:hAnsi="Inter"/>
                <w:b w:val="0"/>
                <w:i w:val="0"/>
                <w:color w:val="2A2A2A"/>
                <w:sz w:val="19"/>
              </w:rPr>
              <w:t>.</w:t>
            </w:r>
          </w:p>
          <w:p>
            <w:pPr>
              <w:spacing w:after="60" w:line="293" w:lineRule="auto"/>
            </w:pPr>
            <w:r>
              <w:rPr>
                <w:rFonts w:ascii="Inter" w:hAnsi="Inter"/>
                <w:b/>
                <w:i w:val="0"/>
                <w:color w:val="010860"/>
                <w:sz w:val="19"/>
              </w:rPr>
              <w:t xml:space="preserve">Recomendação: </w:t>
            </w:r>
            <w:r>
              <w:rPr>
                <w:rFonts w:ascii="Inter" w:hAnsi="Inter"/>
                <w:b w:val="0"/>
                <w:i w:val="0"/>
                <w:color w:val="2A2A2A"/>
                <w:sz w:val="19"/>
              </w:rPr>
              <w:t>o Conselho aprova o modelo endossado, define a hierarquia visual do selo GS (tamanho, posição, quando aparece) e isso vira regra no brand book. Essa decisão é barata agora e cara depois — todo material futuro depende dela.</w:t>
            </w:r>
          </w:p>
        </w:tc>
      </w:tr>
    </w:tbl>
    <w:p>
      <w:pPr>
        <w:spacing w:after="80"/>
      </w:pPr>
    </w:p>
    <w:p>
      <w:pPr>
        <w:pStyle w:val="Heading2"/>
      </w:pPr>
      <w:r>
        <w:t>4. Auditoria de marca (Fase 1) — método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1"/>
        </w:rPr>
        <w:t>A estratégia não se inventa: mede-se a percepção real e desenha-se a partir dela. A auditoria tem três frentes, com entregável único (Relatório de Diagnóstico de Marca):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1587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9"/>
              </w:rPr>
              <w:t>Frente</w:t>
            </w:r>
          </w:p>
        </w:tc>
        <w:tc>
          <w:tcPr>
            <w:tcW w:type="dxa" w:w="3742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9"/>
              </w:rPr>
              <w:t>O que investiga</w:t>
            </w:r>
          </w:p>
        </w:tc>
        <w:tc>
          <w:tcPr>
            <w:tcW w:type="dxa" w:w="4309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9"/>
              </w:rPr>
              <w:t>Como (instrumentos)</w:t>
            </w:r>
          </w:p>
        </w:tc>
      </w:tr>
      <w:tr>
        <w:tc>
          <w:tcPr>
            <w:tcW w:type="dxa" w:w="1587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Interna</w:t>
            </w:r>
          </w:p>
        </w:tc>
        <w:tc>
          <w:tcPr>
            <w:tcW w:type="dxa" w:w="3742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Como sócios, executivos e time percebem e descrevem a marca; nível de consistência</w:t>
            </w:r>
          </w:p>
        </w:tc>
        <w:tc>
          <w:tcPr>
            <w:tcW w:type="dxa" w:w="4309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Entrevistas com Conselho (Lucas, Melina, Vili), executivos-chave (Cleber, Ulisses, Alexandre, Bruno) e workshop de marca</w:t>
            </w:r>
          </w:p>
        </w:tc>
      </w:tr>
      <w:tr>
        <w:tc>
          <w:tcPr>
            <w:tcW w:type="dxa" w:w="1587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Externa</w:t>
            </w:r>
          </w:p>
        </w:tc>
        <w:tc>
          <w:tcPr>
            <w:tcW w:type="dxa" w:w="3742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Como clientes, parceiros e o mercado percebem a Lucro Ativo; força/lembrança</w:t>
            </w:r>
          </w:p>
        </w:tc>
        <w:tc>
          <w:tcPr>
            <w:tcW w:type="dxa" w:w="4309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Entrevistas com clientes A/B, pesquisa com parceiros, escuta digital (menções, buscas)</w:t>
            </w:r>
          </w:p>
        </w:tc>
      </w:tr>
      <w:tr>
        <w:tc>
          <w:tcPr>
            <w:tcW w:type="dxa" w:w="1587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Competitiva</w:t>
            </w:r>
          </w:p>
        </w:tc>
        <w:tc>
          <w:tcPr>
            <w:tcW w:type="dxa" w:w="3742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Como concorrentes e referências se posicionam e comunicam</w:t>
            </w:r>
          </w:p>
        </w:tc>
        <w:tc>
          <w:tcPr>
            <w:tcW w:type="dxa" w:w="4309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Benchmark de posicionamento, identidade e presença digital (escritórios tributários e consultorias)</w:t>
            </w:r>
          </w:p>
        </w:tc>
      </w:tr>
    </w:tbl>
    <w:p>
      <w:pPr>
        <w:spacing w:after="40"/>
      </w:pPr>
    </w:p>
    <w:p>
      <w:pPr>
        <w:spacing w:before="40" w:after="200"/>
        <w:jc w:val="center"/>
      </w:pPr>
      <w:r>
        <w:rPr>
          <w:rFonts w:ascii="Inter" w:hAnsi="Inter"/>
          <w:i/>
          <w:color w:val="5A5A5A"/>
          <w:sz w:val="17"/>
        </w:rPr>
        <w:t>A auditoria transforma percepção em decisão — é o que separa marca construída de marca improvisada.</w:t>
      </w:r>
    </w:p>
    <w:p>
      <w:r>
        <w:br w:type="page"/>
      </w:r>
    </w:p>
    <w:p>
      <w:pPr>
        <w:pStyle w:val="Heading1"/>
      </w:pPr>
      <w:r>
        <w:t>PARTE II — Estratégia de Marca (Para onde vamos)</w:t>
      </w:r>
    </w:p>
    <w:p>
      <w:pPr>
        <w:pStyle w:val="Heading2"/>
      </w:pPr>
      <w:r>
        <w:t>5. Plataforma de marca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1"/>
        </w:rPr>
        <w:t>A plataforma de marca é o documento-raiz do qual todo o resto deriva (comunicação, campanhas, conteúdo, vendas). É o que a Fase 2 fecha e o Conselho valida: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367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aform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Inter" w:hAnsi="Inter"/>
          <w:i/>
          <w:color w:val="5A5A5A"/>
          <w:sz w:val="17"/>
        </w:rPr>
        <w:t>Esqueleto da plataforma — do propósito à personalidade. Os textos finais saem da auditoria (Fase 1) e são aprovados pelo Conselho.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1"/>
        </w:rPr>
        <w:t xml:space="preserve">Boa parte do conteúdo já existe de forma implícita </w:t>
      </w:r>
      <w:r>
        <w:rPr>
          <w:rFonts w:ascii="Inter" w:hAnsi="Inter"/>
          <w:b w:val="0"/>
          <w:i/>
          <w:color w:val="141414"/>
          <w:sz w:val="21"/>
        </w:rPr>
        <w:t>(missão, visão 2031, valores e pilares foram formalizados no Documento Mestre)</w:t>
      </w:r>
      <w:r>
        <w:rPr>
          <w:rFonts w:ascii="Inter" w:hAnsi="Inter"/>
          <w:b w:val="0"/>
          <w:i w:val="0"/>
          <w:color w:val="141414"/>
          <w:sz w:val="21"/>
        </w:rPr>
        <w:t>. A Fase 2 os transporta para a linguagem de marca (posicionamento, proposta de valor, tom de voz) e fecha uma tagline.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FFF8EC"/>
            <w:tcBorders>
              <w:top w:val="single" w:sz="4" w:space="0" w:color="E8D3A8"/>
              <w:bottom w:val="single" w:sz="4" w:space="0" w:color="E8D3A8"/>
              <w:right w:val="single" w:sz="4" w:space="0" w:color="E8D3A8"/>
              <w:left w:val="single" w:sz="26" w:space="0" w:color="C6A15B"/>
            </w:tcBorders>
            <w:tcMar>
              <w:top w:w="110" w:type="dxa"/>
              <w:bottom w:w="110" w:type="dxa"/>
              <w:start w:w="20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Montserrat" w:hAnsi="Montserrat"/>
                <w:b/>
                <w:color w:val="7A5A1E"/>
                <w:sz w:val="21"/>
              </w:rPr>
              <w:t>⬧ PROPOSTA — territórios de posicionamento (a validar em Conselho)</w:t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 w:val="0"/>
                <w:color w:val="3A2E14"/>
                <w:sz w:val="19"/>
              </w:rPr>
              <w:t>Três territórios possíveis para o posicionamento — a auditoria indica qual ressoa mais no C-level:</w:t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/>
                <w:color w:val="3A2E14"/>
                <w:sz w:val="19"/>
              </w:rPr>
              <w:t>1) "Engenharia tributária de alto impacto"</w:t>
            </w:r>
            <w:r>
              <w:rPr>
                <w:rFonts w:ascii="Inter" w:hAnsi="Inter"/>
                <w:b w:val="0"/>
                <w:color w:val="3A2E14"/>
                <w:sz w:val="19"/>
              </w:rPr>
              <w:t xml:space="preserve"> — foco em resultado financeiro e sofisticação técnica.</w:t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/>
                <w:color w:val="3A2E14"/>
                <w:sz w:val="19"/>
              </w:rPr>
              <w:t>2) "Segurança que vira caixa"</w:t>
            </w:r>
            <w:r>
              <w:rPr>
                <w:rFonts w:ascii="Inter" w:hAnsi="Inter"/>
                <w:b w:val="0"/>
                <w:color w:val="3A2E14"/>
                <w:sz w:val="19"/>
              </w:rPr>
              <w:t xml:space="preserve"> — foco em transformar risco/passivo em liquidez.</w:t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/>
                <w:color w:val="3A2E14"/>
                <w:sz w:val="19"/>
              </w:rPr>
              <w:t>3) "O copiloto da travessia tributária"</w:t>
            </w:r>
            <w:r>
              <w:rPr>
                <w:rFonts w:ascii="Inter" w:hAnsi="Inter"/>
                <w:b w:val="0"/>
                <w:color w:val="3A2E14"/>
                <w:sz w:val="19"/>
              </w:rPr>
              <w:t xml:space="preserve"> — foco na Reforma como jornada guiada.</w:t>
            </w:r>
          </w:p>
        </w:tc>
      </w:tr>
    </w:tbl>
    <w:p>
      <w:pPr>
        <w:spacing w:after="80"/>
      </w:pPr>
    </w:p>
    <w:p>
      <w:pPr>
        <w:pStyle w:val="Heading2"/>
      </w:pPr>
      <w:r>
        <w:t>6. Públicos e territórios de marca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1"/>
        </w:rPr>
        <w:t>A marca fala com cinco públicos, cada um com uma expectativa diferente — a mensagem se ajusta, o núcleo (a plataforma) não muda: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9"/>
              </w:rPr>
              <w:t>Público</w:t>
            </w:r>
          </w:p>
        </w:tc>
        <w:tc>
          <w:tcPr>
            <w:tcW w:type="dxa" w:w="3855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9"/>
              </w:rPr>
              <w:t>O que ele valoriza na marca</w:t>
            </w:r>
          </w:p>
        </w:tc>
        <w:tc>
          <w:tcPr>
            <w:tcW w:type="dxa" w:w="3515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9"/>
              </w:rPr>
              <w:t>Tom / prova a enfatizar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C-level de grandes corporações</w:t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Autoridade técnica, discrição, resultado financeiro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Sóbrio, dado, cases; sem venda agressiva</w:t>
            </w:r>
          </w:p>
        </w:tc>
      </w:tr>
      <w:tr>
        <w:tc>
          <w:tcPr>
            <w:tcW w:type="dxa" w:w="2268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Órgãos públicos (IRRF/Municípios)</w:t>
            </w:r>
          </w:p>
        </w:tc>
        <w:tc>
          <w:tcPr>
            <w:tcW w:type="dxa" w:w="3855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Segurança jurídica, conformidade, respaldo institucional</w:t>
            </w:r>
          </w:p>
        </w:tc>
        <w:tc>
          <w:tcPr>
            <w:tcW w:type="dxa" w:w="3515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Institucional, legislação, autoridade; ver Nota nº 7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Middle market</w:t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Clareza, confiança, previsibilidade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Didático, próximo, sem jargão excessivo</w:t>
            </w:r>
          </w:p>
        </w:tc>
      </w:tr>
      <w:tr>
        <w:tc>
          <w:tcPr>
            <w:tcW w:type="dxa" w:w="2268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Parceiros / canais</w:t>
            </w:r>
          </w:p>
        </w:tc>
        <w:tc>
          <w:tcPr>
            <w:tcW w:type="dxa" w:w="3855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Marca que os valoriza e não os ofusca</w:t>
            </w:r>
          </w:p>
        </w:tc>
        <w:tc>
          <w:tcPr>
            <w:tcW w:type="dxa" w:w="3515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Co-branding, apoio, geração de negócio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Talentos (employer brand)</w:t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Cultura, aprendizado, propósito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Bastidores, gente, desenvolvimento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F5F6FC"/>
            <w:tcBorders>
              <w:top w:val="single" w:sz="4" w:space="0" w:color="D8DBEC"/>
              <w:bottom w:val="single" w:sz="4" w:space="0" w:color="D8DBEC"/>
              <w:right w:val="single" w:sz="4" w:space="0" w:color="D8DBEC"/>
              <w:left w:val="single" w:sz="26" w:space="0" w:color="010860"/>
            </w:tcBorders>
            <w:tcMar>
              <w:top w:w="120" w:type="dxa"/>
              <w:bottom w:w="120" w:type="dxa"/>
              <w:start w:w="200" w:type="dxa"/>
              <w:end w:w="180" w:type="dxa"/>
            </w:tcMar>
          </w:tcPr>
          <w:p>
            <w:pPr>
              <w:spacing w:after="80" w:line="264" w:lineRule="auto"/>
            </w:pPr>
            <w:r/>
            <w:r>
              <w:rPr>
                <w:rFonts w:ascii="Montserrat" w:hAnsi="Montserrat"/>
                <w:b/>
                <w:color w:val="010860"/>
                <w:sz w:val="22"/>
              </w:rPr>
              <w:t xml:space="preserve">NOTA DO MENTOR Nº 7   </w:t>
            </w:r>
            <w:r>
              <w:rPr>
                <w:rFonts w:ascii="Inter" w:hAnsi="Inter"/>
                <w:b/>
                <w:color w:val="117A65"/>
                <w:sz w:val="16"/>
              </w:rPr>
              <w:t xml:space="preserve"> ESTRATÉGICO </w:t>
            </w:r>
          </w:p>
          <w:p>
            <w:pPr>
              <w:spacing w:after="100" w:before="0"/>
            </w:pPr>
            <w:r>
              <w:rPr>
                <w:rFonts w:ascii="Montserrat" w:hAnsi="Montserrat"/>
                <w:b/>
                <w:color w:val="141414"/>
                <w:sz w:val="22"/>
              </w:rPr>
              <w:t>Setor público exige uma sub-narrativa de autoridade institucional — não é o mesmo tom do C-level privado.</w:t>
            </w:r>
          </w:p>
          <w:p>
            <w:pPr>
              <w:spacing w:after="60" w:line="293" w:lineRule="auto"/>
            </w:pPr>
            <w:r>
              <w:rPr>
                <w:rFonts w:ascii="Inter" w:hAnsi="Inter"/>
                <w:b w:val="0"/>
                <w:i w:val="0"/>
                <w:color w:val="2A2A2A"/>
                <w:sz w:val="19"/>
              </w:rPr>
              <w:t xml:space="preserve">A linha de IRRF/Municípios coloca a marca diante de gestores públicos, que compram por </w:t>
            </w:r>
            <w:r>
              <w:rPr>
                <w:rFonts w:ascii="Inter" w:hAnsi="Inter"/>
                <w:b/>
                <w:i w:val="0"/>
                <w:color w:val="2A2A2A"/>
                <w:sz w:val="19"/>
              </w:rPr>
              <w:t>segurança jurídica e conformidade</w:t>
            </w:r>
            <w:r>
              <w:rPr>
                <w:rFonts w:ascii="Inter" w:hAnsi="Inter"/>
                <w:b w:val="0"/>
                <w:i w:val="0"/>
                <w:color w:val="2A2A2A"/>
                <w:sz w:val="19"/>
              </w:rPr>
              <w:t xml:space="preserve">, não por "alto impacto financeiro". A mesma marca-mãe precisa de um </w:t>
            </w:r>
            <w:r>
              <w:rPr>
                <w:rFonts w:ascii="Inter" w:hAnsi="Inter"/>
                <w:b/>
                <w:i w:val="0"/>
                <w:color w:val="2A2A2A"/>
                <w:sz w:val="19"/>
              </w:rPr>
              <w:t>registro de autoridade institucional</w:t>
            </w:r>
            <w:r>
              <w:rPr>
                <w:rFonts w:ascii="Inter" w:hAnsi="Inter"/>
                <w:b w:val="0"/>
                <w:i w:val="0"/>
                <w:color w:val="2A2A2A"/>
                <w:sz w:val="19"/>
              </w:rPr>
              <w:t xml:space="preserve"> para esse público (respaldo do STF/legislação, Tribunais de Contas, licitação).</w:t>
            </w:r>
          </w:p>
          <w:p>
            <w:pPr>
              <w:spacing w:after="60" w:line="293" w:lineRule="auto"/>
            </w:pPr>
            <w:r>
              <w:rPr>
                <w:rFonts w:ascii="Inter" w:hAnsi="Inter"/>
                <w:b/>
                <w:i w:val="0"/>
                <w:color w:val="010860"/>
                <w:sz w:val="19"/>
              </w:rPr>
              <w:t xml:space="preserve">Recomendação: </w:t>
            </w:r>
            <w:r>
              <w:rPr>
                <w:rFonts w:ascii="Inter" w:hAnsi="Inter"/>
                <w:b w:val="0"/>
                <w:i w:val="0"/>
                <w:color w:val="2A2A2A"/>
                <w:sz w:val="19"/>
              </w:rPr>
              <w:t>tratar "setor público" como um território de marca com messaging próprio dentro da mesma plataforma — reaproveitando o material de IRRF que já construímos como semente.</w:t>
            </w:r>
          </w:p>
        </w:tc>
      </w:tr>
    </w:tbl>
    <w:p>
      <w:pPr>
        <w:spacing w:after="80"/>
      </w:pPr>
    </w:p>
    <w:p>
      <w:pPr>
        <w:pStyle w:val="Heading2"/>
      </w:pPr>
      <w:r>
        <w:t>7. Identidade verbal &amp; narrativa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21"/>
        </w:rPr>
        <w:t xml:space="preserve">Guia de tom de voz — </w:t>
      </w:r>
      <w:r>
        <w:rPr>
          <w:rFonts w:ascii="Inter" w:hAnsi="Inter"/>
          <w:b w:val="0"/>
          <w:i w:val="0"/>
          <w:color w:val="141414"/>
          <w:sz w:val="21"/>
        </w:rPr>
        <w:t>como a Lucro Ativo escreve e fala (seguro, técnico, sóbrio; o que evitamos: promessa vazia, sensacionalismo, jargão gratuito).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21"/>
        </w:rPr>
        <w:t xml:space="preserve">Messaging house — </w:t>
      </w:r>
      <w:r>
        <w:rPr>
          <w:rFonts w:ascii="Inter" w:hAnsi="Inter"/>
          <w:b w:val="0"/>
          <w:i w:val="0"/>
          <w:color w:val="141414"/>
          <w:sz w:val="21"/>
        </w:rPr>
        <w:t>mensagem-mãe + mensagens por público/produto, para todos falarem a mesma língua (vendas, marketing, executivos).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21"/>
        </w:rPr>
        <w:t xml:space="preserve">Naming de produtos — </w:t>
      </w:r>
      <w:r>
        <w:rPr>
          <w:rFonts w:ascii="Inter" w:hAnsi="Inter"/>
          <w:b w:val="0"/>
          <w:i w:val="0"/>
          <w:color w:val="141414"/>
          <w:sz w:val="21"/>
        </w:rPr>
        <w:t>decidir se PGFN/ICMS/DCF/IRRF ganham nomes de marca ou seguem descritivos. Menos é mais: nome demais confunde.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21"/>
        </w:rPr>
        <w:t xml:space="preserve">Narrativa da Reforma — </w:t>
      </w:r>
      <w:r>
        <w:rPr>
          <w:rFonts w:ascii="Inter" w:hAnsi="Inter"/>
          <w:b w:val="0"/>
          <w:i w:val="0"/>
          <w:color w:val="141414"/>
          <w:sz w:val="21"/>
        </w:rPr>
        <w:t>o fio condutor que posiciona a marca como guia da travessia (EC 132/2023).</w:t>
      </w:r>
    </w:p>
    <w:p>
      <w:pPr>
        <w:pStyle w:val="Heading2"/>
      </w:pPr>
      <w:r>
        <w:t>8. Evolução da identidade visual (não revolução)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1"/>
        </w:rPr>
        <w:t xml:space="preserve">A identidade visual não será refeita — será </w:t>
      </w:r>
      <w:r>
        <w:rPr>
          <w:rFonts w:ascii="Inter" w:hAnsi="Inter"/>
          <w:b/>
          <w:i w:val="0"/>
          <w:color w:val="010860"/>
          <w:sz w:val="21"/>
        </w:rPr>
        <w:t>completada e sistematizada</w:t>
      </w:r>
      <w:r>
        <w:rPr>
          <w:rFonts w:ascii="Inter" w:hAnsi="Inter"/>
          <w:b w:val="0"/>
          <w:i w:val="0"/>
          <w:color w:val="141414"/>
          <w:sz w:val="21"/>
        </w:rPr>
        <w:t xml:space="preserve">. O objetivo é sair de um "manual" para um </w:t>
      </w:r>
      <w:r>
        <w:rPr>
          <w:rFonts w:ascii="Inter" w:hAnsi="Inter"/>
          <w:b w:val="0"/>
          <w:i w:val="0"/>
          <w:color w:val="141414"/>
          <w:sz w:val="21"/>
        </w:rPr>
        <w:t>design system": biblioteca viva com regras de logo, paleta estendida, tipografia, ícones, grids, tratamento de dados (o sistema de gráficos/waterfall que já usamos), templates de apresentação, social e documento, e a regra do selo Grupo Studio.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F5F6FC"/>
            <w:tcBorders>
              <w:top w:val="single" w:sz="4" w:space="0" w:color="D8DBEC"/>
              <w:bottom w:val="single" w:sz="4" w:space="0" w:color="D8DBEC"/>
              <w:right w:val="single" w:sz="4" w:space="0" w:color="D8DBEC"/>
              <w:left w:val="single" w:sz="26" w:space="0" w:color="010860"/>
            </w:tcBorders>
            <w:tcMar>
              <w:top w:w="120" w:type="dxa"/>
              <w:bottom w:w="120" w:type="dxa"/>
              <w:start w:w="200" w:type="dxa"/>
              <w:end w:w="180" w:type="dxa"/>
            </w:tcMar>
          </w:tcPr>
          <w:p>
            <w:pPr>
              <w:spacing w:after="80" w:line="264" w:lineRule="auto"/>
            </w:pPr>
            <w:r/>
            <w:r>
              <w:rPr>
                <w:rFonts w:ascii="Montserrat" w:hAnsi="Montserrat"/>
                <w:b/>
                <w:color w:val="010860"/>
                <w:sz w:val="22"/>
              </w:rPr>
              <w:t xml:space="preserve">NOTA DO MENTOR Nº 8   </w:t>
            </w:r>
            <w:r>
              <w:rPr>
                <w:rFonts w:ascii="Inter" w:hAnsi="Inter"/>
                <w:b/>
                <w:color w:val="1F618D"/>
                <w:sz w:val="16"/>
              </w:rPr>
              <w:t xml:space="preserve"> CONTROLE </w:t>
            </w:r>
          </w:p>
          <w:p>
            <w:pPr>
              <w:spacing w:after="100" w:before="0"/>
            </w:pPr>
            <w:r>
              <w:rPr>
                <w:rFonts w:ascii="Montserrat" w:hAnsi="Montserrat"/>
                <w:b/>
                <w:color w:val="141414"/>
                <w:sz w:val="22"/>
              </w:rPr>
              <w:t>A marca visual já é boa; o risco é a aplicação inconsistente. Consistência precisa de guardião.</w:t>
            </w:r>
          </w:p>
          <w:p>
            <w:pPr>
              <w:spacing w:after="60" w:line="293" w:lineRule="auto"/>
            </w:pPr>
            <w:r>
              <w:rPr>
                <w:rFonts w:ascii="Inter" w:hAnsi="Inter"/>
                <w:b w:val="0"/>
                <w:i w:val="0"/>
                <w:color w:val="2A2A2A"/>
                <w:sz w:val="19"/>
              </w:rPr>
              <w:t>Sem um brand book vivo e um fluxo de aprovação, cada pessoa (e cada fornecedor) aplica a marca do seu jeito — e a consistência, que hoje existe porque poucas mãos produzem, se perde quando a produção escala.</w:t>
            </w:r>
          </w:p>
          <w:p>
            <w:pPr>
              <w:spacing w:after="60" w:line="293" w:lineRule="auto"/>
            </w:pPr>
            <w:r>
              <w:rPr>
                <w:rFonts w:ascii="Inter" w:hAnsi="Inter"/>
                <w:b/>
                <w:i w:val="0"/>
                <w:color w:val="010860"/>
                <w:sz w:val="19"/>
              </w:rPr>
              <w:t xml:space="preserve">Recomendação: </w:t>
            </w:r>
            <w:r>
              <w:rPr>
                <w:rFonts w:ascii="Inter" w:hAnsi="Inter"/>
                <w:b w:val="0"/>
                <w:i w:val="0"/>
                <w:color w:val="2A2A2A"/>
                <w:sz w:val="19"/>
              </w:rPr>
              <w:t>o design system nasce junto com a governança (seção 12) — regra + guardião, não regra sozinha.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PARTE III — Ativação e Execução (Como chegamos lá)</w:t>
      </w:r>
    </w:p>
    <w:p>
      <w:pPr>
        <w:pStyle w:val="Heading2"/>
      </w:pPr>
      <w:r>
        <w:t>9. Presença digital &amp; conteúdo de autoridade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2494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9"/>
              </w:rPr>
              <w:t>Frente</w:t>
            </w:r>
          </w:p>
        </w:tc>
        <w:tc>
          <w:tcPr>
            <w:tcW w:type="dxa" w:w="5102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9"/>
              </w:rPr>
              <w:t>Objetivo</w:t>
            </w:r>
          </w:p>
        </w:tc>
        <w:tc>
          <w:tcPr>
            <w:tcW w:type="dxa" w:w="1814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9"/>
              </w:rPr>
              <w:t>Prioridade</w:t>
            </w:r>
          </w:p>
        </w:tc>
      </w:tr>
      <w:tr>
        <w:tc>
          <w:tcPr>
            <w:tcW w:type="dxa" w:w="2494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Site institucional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Vitrine de autoridade: produtos, cases, conteúdo, prova social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Alta</w:t>
            </w:r>
          </w:p>
        </w:tc>
      </w:tr>
      <w:tr>
        <w:tc>
          <w:tcPr>
            <w:tcW w:type="dxa" w:w="2494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LinkedIn corporativo</w:t>
            </w:r>
          </w:p>
        </w:tc>
        <w:tc>
          <w:tcPr>
            <w:tcW w:type="dxa" w:w="5102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Canal B2B principal: thought leadership e geração de demanda</w:t>
            </w:r>
          </w:p>
        </w:tc>
        <w:tc>
          <w:tcPr>
            <w:tcW w:type="dxa" w:w="1814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Alta</w:t>
            </w:r>
          </w:p>
        </w:tc>
      </w:tr>
      <w:tr>
        <w:tc>
          <w:tcPr>
            <w:tcW w:type="dxa" w:w="2494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Conteúdo / Reforma Tributária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Possuir o tema: artigos, lives, materiais ricos, newsletter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Alta</w:t>
            </w:r>
          </w:p>
        </w:tc>
      </w:tr>
      <w:tr>
        <w:tc>
          <w:tcPr>
            <w:tcW w:type="dxa" w:w="2494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Instagram institucional</w:t>
            </w:r>
          </w:p>
        </w:tc>
        <w:tc>
          <w:tcPr>
            <w:tcW w:type="dxa" w:w="5102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Marca empregadora e humanização</w:t>
            </w:r>
          </w:p>
        </w:tc>
        <w:tc>
          <w:tcPr>
            <w:tcW w:type="dxa" w:w="1814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Média</w:t>
            </w:r>
          </w:p>
        </w:tc>
      </w:tr>
      <w:tr>
        <w:tc>
          <w:tcPr>
            <w:tcW w:type="dxa" w:w="2494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SEO &amp; presença em buscas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Ser encontrada por quem procura solução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Média</w:t>
            </w:r>
          </w:p>
        </w:tc>
      </w:tr>
      <w:tr>
        <w:tc>
          <w:tcPr>
            <w:tcW w:type="dxa" w:w="2494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Assessoria de imprensa / PR</w:t>
            </w:r>
          </w:p>
        </w:tc>
        <w:tc>
          <w:tcPr>
            <w:tcW w:type="dxa" w:w="5102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Autoridade de terceiros (mídia especializada)</w:t>
            </w:r>
          </w:p>
        </w:tc>
        <w:tc>
          <w:tcPr>
            <w:tcW w:type="dxa" w:w="1814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Opcional / Fase 4+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F5F6FC"/>
            <w:tcBorders>
              <w:top w:val="single" w:sz="4" w:space="0" w:color="D8DBEC"/>
              <w:bottom w:val="single" w:sz="4" w:space="0" w:color="D8DBEC"/>
              <w:right w:val="single" w:sz="4" w:space="0" w:color="D8DBEC"/>
              <w:left w:val="single" w:sz="26" w:space="0" w:color="010860"/>
            </w:tcBorders>
            <w:tcMar>
              <w:top w:w="120" w:type="dxa"/>
              <w:bottom w:w="120" w:type="dxa"/>
              <w:start w:w="200" w:type="dxa"/>
              <w:end w:w="180" w:type="dxa"/>
            </w:tcMar>
          </w:tcPr>
          <w:p>
            <w:pPr>
              <w:spacing w:after="80" w:line="264" w:lineRule="auto"/>
            </w:pPr>
            <w:r/>
            <w:r>
              <w:rPr>
                <w:rFonts w:ascii="Montserrat" w:hAnsi="Montserrat"/>
                <w:b/>
                <w:color w:val="010860"/>
                <w:sz w:val="22"/>
              </w:rPr>
              <w:t xml:space="preserve">NOTA DO MENTOR Nº 6   </w:t>
            </w:r>
            <w:r>
              <w:rPr>
                <w:rFonts w:ascii="Inter" w:hAnsi="Inter"/>
                <w:b/>
                <w:color w:val="117A65"/>
                <w:sz w:val="16"/>
              </w:rPr>
              <w:t xml:space="preserve"> ESTRATÉGICO </w:t>
            </w:r>
          </w:p>
          <w:p>
            <w:pPr>
              <w:spacing w:after="100" w:before="0"/>
            </w:pPr>
            <w:r>
              <w:rPr>
                <w:rFonts w:ascii="Montserrat" w:hAnsi="Montserrat"/>
                <w:b/>
                <w:color w:val="141414"/>
                <w:sz w:val="22"/>
              </w:rPr>
              <w:t>Ser dona do tema "travessia da Reforma Tributária" — a janela de autoridade é 2026–2027.</w:t>
            </w:r>
          </w:p>
          <w:p>
            <w:pPr>
              <w:spacing w:after="60" w:line="293" w:lineRule="auto"/>
            </w:pPr>
            <w:r>
              <w:rPr>
                <w:rFonts w:ascii="Inter" w:hAnsi="Inter"/>
                <w:b w:val="0"/>
                <w:i w:val="0"/>
                <w:color w:val="2A2A2A"/>
                <w:sz w:val="19"/>
              </w:rPr>
              <w:t xml:space="preserve">A Reforma (EC 132/2023) é a maior conversa tributária da década, e a janela para </w:t>
            </w:r>
            <w:r>
              <w:rPr>
                <w:rFonts w:ascii="Inter" w:hAnsi="Inter"/>
                <w:b/>
                <w:i w:val="0"/>
                <w:color w:val="2A2A2A"/>
                <w:sz w:val="19"/>
              </w:rPr>
              <w:t>virar referência no tema</w:t>
            </w:r>
            <w:r>
              <w:rPr>
                <w:rFonts w:ascii="Inter" w:hAnsi="Inter"/>
                <w:b w:val="0"/>
                <w:i w:val="0"/>
                <w:color w:val="2A2A2A"/>
                <w:sz w:val="19"/>
              </w:rPr>
              <w:t xml:space="preserve"> é agora, antes de todos os concorrentes ocuparem o espaço. Marca que ensina a travessia ganha autoridade — e autoridade encurta o ciclo de venda no C-level.</w:t>
            </w:r>
          </w:p>
          <w:p>
            <w:pPr>
              <w:spacing w:after="60" w:line="293" w:lineRule="auto"/>
            </w:pPr>
            <w:r>
              <w:rPr>
                <w:rFonts w:ascii="Inter" w:hAnsi="Inter"/>
                <w:b/>
                <w:i w:val="0"/>
                <w:color w:val="010860"/>
                <w:sz w:val="19"/>
              </w:rPr>
              <w:t xml:space="preserve">Recomendação: </w:t>
            </w:r>
            <w:r>
              <w:rPr>
                <w:rFonts w:ascii="Inter" w:hAnsi="Inter"/>
                <w:b w:val="0"/>
                <w:i w:val="0"/>
                <w:color w:val="2A2A2A"/>
                <w:sz w:val="19"/>
              </w:rPr>
              <w:t>um programa de conteúdo consistente (não esporádico) sobre a Reforma, ancorado no LinkedIn corporativo e amplificado pelos executivos. É a alavanca de marca de maior retorno e menor custo do plano.</w:t>
            </w:r>
          </w:p>
        </w:tc>
      </w:tr>
    </w:tbl>
    <w:p>
      <w:pPr>
        <w:spacing w:after="80"/>
      </w:pPr>
    </w:p>
    <w:p>
      <w:pPr>
        <w:pStyle w:val="Heading2"/>
      </w:pPr>
      <w:r>
        <w:t>10. Marca pessoal dos executivos &amp; employer branding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1"/>
        </w:rPr>
        <w:t xml:space="preserve">A Lucro Ativo tem 14 executivos e ~82 parceiros — uma rede de amplificação rara. O </w:t>
      </w:r>
      <w:r>
        <w:rPr>
          <w:rFonts w:ascii="Inter" w:hAnsi="Inter"/>
          <w:b/>
          <w:i w:val="0"/>
          <w:color w:val="010860"/>
          <w:sz w:val="21"/>
        </w:rPr>
        <w:t>Kit de Marca Pessoal</w:t>
      </w:r>
      <w:r>
        <w:rPr>
          <w:rFonts w:ascii="Inter" w:hAnsi="Inter"/>
          <w:b w:val="0"/>
          <w:i w:val="0"/>
          <w:color w:val="141414"/>
          <w:sz w:val="21"/>
        </w:rPr>
        <w:t xml:space="preserve"> (já iniciado) padroniza perfis (LinkedIn/Instagram) e entrega conteúdo pronto para o executivo publicar no próprio perfil, sem centralizar senhas. Um Agente comunica os posts para amplificação.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F5F6FC"/>
            <w:tcBorders>
              <w:top w:val="single" w:sz="4" w:space="0" w:color="D8DBEC"/>
              <w:bottom w:val="single" w:sz="4" w:space="0" w:color="D8DBEC"/>
              <w:right w:val="single" w:sz="4" w:space="0" w:color="D8DBEC"/>
              <w:left w:val="single" w:sz="26" w:space="0" w:color="010860"/>
            </w:tcBorders>
            <w:tcMar>
              <w:top w:w="120" w:type="dxa"/>
              <w:bottom w:w="120" w:type="dxa"/>
              <w:start w:w="200" w:type="dxa"/>
              <w:end w:w="180" w:type="dxa"/>
            </w:tcMar>
          </w:tcPr>
          <w:p>
            <w:pPr>
              <w:spacing w:after="80" w:line="264" w:lineRule="auto"/>
            </w:pPr>
            <w:r/>
            <w:r>
              <w:rPr>
                <w:rFonts w:ascii="Montserrat" w:hAnsi="Montserrat"/>
                <w:b/>
                <w:color w:val="010860"/>
                <w:sz w:val="22"/>
              </w:rPr>
              <w:t xml:space="preserve">NOTA DO MENTOR Nº 5   </w:t>
            </w:r>
            <w:r>
              <w:rPr>
                <w:rFonts w:ascii="Inter" w:hAnsi="Inter"/>
                <w:b/>
                <w:color w:val="B9770E"/>
                <w:sz w:val="16"/>
              </w:rPr>
              <w:t xml:space="preserve"> ATENÇÃO </w:t>
            </w:r>
          </w:p>
          <w:p>
            <w:pPr>
              <w:spacing w:after="100" w:before="0"/>
            </w:pPr>
            <w:r>
              <w:rPr>
                <w:rFonts w:ascii="Montserrat" w:hAnsi="Montserrat"/>
                <w:b/>
                <w:color w:val="141414"/>
                <w:sz w:val="22"/>
              </w:rPr>
              <w:t>Marca pessoal de parceiro autônomo é ativo E risco: se ele sai, leva a audiência construída com o seu conteúdo.</w:t>
            </w:r>
          </w:p>
          <w:p>
            <w:pPr>
              <w:spacing w:after="60" w:line="293" w:lineRule="auto"/>
            </w:pPr>
            <w:r>
              <w:rPr>
                <w:rFonts w:ascii="Inter" w:hAnsi="Inter"/>
                <w:b w:val="0"/>
                <w:i w:val="0"/>
                <w:color w:val="2A2A2A"/>
                <w:sz w:val="19"/>
              </w:rPr>
              <w:t xml:space="preserve">Padronizar e alimentar o perfil dos executivos aumenta o alcance — mas boa parte deles é </w:t>
            </w:r>
            <w:r>
              <w:rPr>
                <w:rFonts w:ascii="Inter" w:hAnsi="Inter"/>
                <w:b/>
                <w:i w:val="0"/>
                <w:color w:val="2A2A2A"/>
                <w:sz w:val="19"/>
              </w:rPr>
              <w:t>parceiro autônomo, com negócio paralelo</w:t>
            </w:r>
            <w:r>
              <w:rPr>
                <w:rFonts w:ascii="Inter" w:hAnsi="Inter"/>
                <w:b w:val="0"/>
                <w:i w:val="0"/>
                <w:color w:val="2A2A2A"/>
                <w:sz w:val="19"/>
              </w:rPr>
              <w:t>. A audiência construída com conteúdo da Lucro Ativo pode ir embora com ele.</w:t>
            </w:r>
          </w:p>
          <w:p>
            <w:pPr>
              <w:spacing w:after="60" w:line="293" w:lineRule="auto"/>
            </w:pPr>
            <w:r>
              <w:rPr>
                <w:rFonts w:ascii="Inter" w:hAnsi="Inter"/>
                <w:b/>
                <w:i w:val="0"/>
                <w:color w:val="010860"/>
                <w:sz w:val="19"/>
              </w:rPr>
              <w:t xml:space="preserve">Recomendação: </w:t>
            </w:r>
            <w:r>
              <w:rPr>
                <w:rFonts w:ascii="Inter" w:hAnsi="Inter"/>
                <w:b w:val="0"/>
                <w:i w:val="0"/>
                <w:color w:val="2A2A2A"/>
                <w:sz w:val="19"/>
              </w:rPr>
              <w:t>um "acordo de marca pessoal" (o que é co-branded, o que acontece na saída) e o modelo de kit (executivo publica no próprio perfil) em vez de centralizar acesso — reduz risco de LGPD e de dependência. Conecta com a governança de offboarding.</w:t>
            </w:r>
          </w:p>
        </w:tc>
      </w:tr>
    </w:tbl>
    <w:p>
      <w:pPr>
        <w:spacing w:after="80"/>
      </w:pPr>
    </w:p>
    <w:p>
      <w:pPr>
        <w:pStyle w:val="Heading2"/>
      </w:pPr>
      <w:r>
        <w:t>11. Experiência de marca (todos os pontos de contato)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1"/>
        </w:rPr>
        <w:t>A marca acontece em cada toque com o cliente — não só na comunicação. Vários pontos já estão padronizados; o plano fecha os que faltam: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21"/>
        </w:rPr>
        <w:t xml:space="preserve">Já padronizado: </w:t>
      </w:r>
      <w:r>
        <w:rPr>
          <w:rFonts w:ascii="Inter" w:hAnsi="Inter"/>
          <w:b w:val="0"/>
          <w:i w:val="0"/>
          <w:color w:val="141414"/>
          <w:sz w:val="21"/>
        </w:rPr>
        <w:t>decks comerciais, dossiês, contratos-modelo, especificações, assinatura de e-mail.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21"/>
        </w:rPr>
        <w:t xml:space="preserve">A padronizar: </w:t>
      </w:r>
      <w:r>
        <w:rPr>
          <w:rFonts w:ascii="Inter" w:hAnsi="Inter"/>
          <w:b w:val="0"/>
          <w:i w:val="0"/>
          <w:color w:val="141414"/>
          <w:sz w:val="21"/>
        </w:rPr>
        <w:t>proposta comercial, onboarding do cliente, comunicação de faturamento/cobrança, ambiente do escritório, brindes/materiais físicos.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21"/>
        </w:rPr>
        <w:t xml:space="preserve">Simulador comercial: </w:t>
      </w:r>
      <w:r>
        <w:rPr>
          <w:rFonts w:ascii="Inter" w:hAnsi="Inter"/>
          <w:b w:val="0"/>
          <w:i w:val="0"/>
          <w:color w:val="141414"/>
          <w:sz w:val="21"/>
        </w:rPr>
        <w:t>a ferramenta de reunião (spec v1.3) é um ponto de marca de alto impacto — a experiência ao vivo com o cliente.</w:t>
      </w:r>
    </w:p>
    <w:p>
      <w:pPr>
        <w:pStyle w:val="Heading2"/>
      </w:pPr>
      <w:r>
        <w:t>12. Governança de marca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1"/>
        </w:rPr>
        <w:t>Marca sem dono degrada. A governança garante que o investimento não se perca em inconsistência: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21"/>
        </w:rPr>
        <w:t xml:space="preserve">Brand Owner (dono da marca) — </w:t>
      </w:r>
      <w:r>
        <w:rPr>
          <w:rFonts w:ascii="Inter" w:hAnsi="Inter"/>
          <w:b w:val="0"/>
          <w:i w:val="0"/>
          <w:color w:val="141414"/>
          <w:sz w:val="21"/>
        </w:rPr>
        <w:t>papel interno que responde pela marca, faz o briefing e cobra fornecedores. É a Fase 0.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21"/>
        </w:rPr>
        <w:t xml:space="preserve">Brand book vivo — </w:t>
      </w:r>
      <w:r>
        <w:rPr>
          <w:rFonts w:ascii="Inter" w:hAnsi="Inter"/>
          <w:b w:val="0"/>
          <w:i w:val="0"/>
          <w:color w:val="141414"/>
          <w:sz w:val="21"/>
        </w:rPr>
        <w:t>regras acessíveis e atualizadas (não um PDF que ninguém abre).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21"/>
        </w:rPr>
        <w:t xml:space="preserve">Fluxo de aprovação — </w:t>
      </w:r>
      <w:r>
        <w:rPr>
          <w:rFonts w:ascii="Inter" w:hAnsi="Inter"/>
          <w:b w:val="0"/>
          <w:i w:val="0"/>
          <w:color w:val="141414"/>
          <w:sz w:val="21"/>
        </w:rPr>
        <w:t>quem valida o quê antes de publicar (guardião da consistência).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21"/>
        </w:rPr>
        <w:t xml:space="preserve">Ritual de revisão — </w:t>
      </w:r>
      <w:r>
        <w:rPr>
          <w:rFonts w:ascii="Inter" w:hAnsi="Inter"/>
          <w:b w:val="0"/>
          <w:i w:val="0"/>
          <w:color w:val="141414"/>
          <w:sz w:val="21"/>
        </w:rPr>
        <w:t>auditoria de consistência periódica + revisão semestral da estratégia.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F5F6FC"/>
            <w:tcBorders>
              <w:top w:val="single" w:sz="4" w:space="0" w:color="D8DBEC"/>
              <w:bottom w:val="single" w:sz="4" w:space="0" w:color="D8DBEC"/>
              <w:right w:val="single" w:sz="4" w:space="0" w:color="D8DBEC"/>
              <w:left w:val="single" w:sz="26" w:space="0" w:color="010860"/>
            </w:tcBorders>
            <w:tcMar>
              <w:top w:w="120" w:type="dxa"/>
              <w:bottom w:w="120" w:type="dxa"/>
              <w:start w:w="200" w:type="dxa"/>
              <w:end w:w="180" w:type="dxa"/>
            </w:tcMar>
          </w:tcPr>
          <w:p>
            <w:pPr>
              <w:spacing w:after="80" w:line="264" w:lineRule="auto"/>
            </w:pPr>
            <w:r/>
            <w:r>
              <w:rPr>
                <w:rFonts w:ascii="Montserrat" w:hAnsi="Montserrat"/>
                <w:b/>
                <w:color w:val="010860"/>
                <w:sz w:val="22"/>
              </w:rPr>
              <w:t xml:space="preserve">NOTA DO MENTOR Nº 1   </w:t>
            </w:r>
            <w:r>
              <w:rPr>
                <w:rFonts w:ascii="Inter" w:hAnsi="Inter"/>
                <w:b/>
                <w:color w:val="C0392B"/>
                <w:sz w:val="16"/>
              </w:rPr>
              <w:t xml:space="preserve"> CRÍTICO </w:t>
            </w:r>
          </w:p>
          <w:p>
            <w:pPr>
              <w:spacing w:after="100" w:before="0"/>
            </w:pPr>
            <w:r>
              <w:rPr>
                <w:rFonts w:ascii="Montserrat" w:hAnsi="Montserrat"/>
                <w:b/>
                <w:color w:val="141414"/>
                <w:sz w:val="22"/>
              </w:rPr>
              <w:t>Nomear o dono da marca ANTES de terceirizar — senão a agência entrega genérico e a marca perde controle.</w:t>
            </w:r>
          </w:p>
          <w:p>
            <w:pPr>
              <w:spacing w:after="60" w:line="293" w:lineRule="auto"/>
            </w:pPr>
            <w:r>
              <w:rPr>
                <w:rFonts w:ascii="Inter" w:hAnsi="Inter"/>
                <w:b w:val="0"/>
                <w:i w:val="0"/>
                <w:color w:val="2A2A2A"/>
                <w:sz w:val="19"/>
              </w:rPr>
              <w:t xml:space="preserve">Este é o mesmo alerta que fiz sobre o marketing no Planejamento: </w:t>
            </w:r>
            <w:r>
              <w:rPr>
                <w:rFonts w:ascii="Inter" w:hAnsi="Inter"/>
                <w:b/>
                <w:i w:val="0"/>
                <w:color w:val="2A2A2A"/>
                <w:sz w:val="19"/>
              </w:rPr>
              <w:t>terceirizar antes de ter um dono interno</w:t>
            </w:r>
            <w:r>
              <w:rPr>
                <w:rFonts w:ascii="Inter" w:hAnsi="Inter"/>
                <w:b w:val="0"/>
                <w:i w:val="0"/>
                <w:color w:val="2A2A2A"/>
                <w:sz w:val="19"/>
              </w:rPr>
              <w:t xml:space="preserve"> que faça o briefing e cobre a agência = output genérico e perda de controle de marca. Melina (consultiva) </w:t>
            </w:r>
            <w:r>
              <w:rPr>
                <w:rFonts w:ascii="Inter" w:hAnsi="Inter"/>
                <w:b w:val="0"/>
                <w:i/>
                <w:color w:val="2A2A2A"/>
                <w:sz w:val="19"/>
              </w:rPr>
              <w:t>não é</w:t>
            </w:r>
            <w:r>
              <w:rPr>
                <w:rFonts w:ascii="Inter" w:hAnsi="Inter"/>
                <w:b w:val="0"/>
                <w:i w:val="0"/>
                <w:color w:val="2A2A2A"/>
                <w:sz w:val="19"/>
              </w:rPr>
              <w:t xml:space="preserve"> a dona operacional — é sponsor/padrão.</w:t>
            </w:r>
          </w:p>
          <w:p>
            <w:pPr>
              <w:spacing w:after="60" w:line="293" w:lineRule="auto"/>
            </w:pPr>
            <w:r>
              <w:rPr>
                <w:rFonts w:ascii="Inter" w:hAnsi="Inter"/>
                <w:b/>
                <w:i w:val="0"/>
                <w:color w:val="010860"/>
                <w:sz w:val="19"/>
              </w:rPr>
              <w:t xml:space="preserve">Recomendação: </w:t>
            </w:r>
            <w:r>
              <w:rPr>
                <w:rFonts w:ascii="Inter" w:hAnsi="Inter"/>
                <w:b w:val="0"/>
                <w:i w:val="0"/>
                <w:color w:val="2A2A2A"/>
                <w:sz w:val="19"/>
              </w:rPr>
              <w:t>definir três papéis sem sobreposição — Melina = sponsor/mentora; Brand Owner interno = executor/dono; Agência/especialista = capacidade. É a Fase 0, pré-requisito de tudo.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PARTE IV — Plano de Projeto (Fases, Stakeholders, Equipe)</w:t>
      </w:r>
    </w:p>
    <w:p>
      <w:pPr>
        <w:pStyle w:val="Heading2"/>
      </w:pPr>
      <w:r>
        <w:t>13. Fases &amp; linha do tempo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1"/>
        </w:rPr>
        <w:t>O projeto tem seis fases — um núcleo de construção (~8 meses) seguido de gestão contínua. As durações são proposta a validar após a Fase 0 (que dimensiona o make-or-buy).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26731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lin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73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Inter" w:hAnsi="Inter"/>
          <w:i/>
          <w:color w:val="5A5A5A"/>
          <w:sz w:val="17"/>
        </w:rPr>
        <w:t>Fases sobrepostas (não sequenciais rígidas): a auditoria começa cedo e a estratégia entra antes de a auditoria fechar.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701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7"/>
              </w:rPr>
              <w:t>Fase</w:t>
            </w:r>
          </w:p>
        </w:tc>
        <w:tc>
          <w:tcPr>
            <w:tcW w:type="dxa" w:w="1644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3061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7"/>
              </w:rPr>
              <w:t>Entregáveis-chave</w:t>
            </w:r>
          </w:p>
        </w:tc>
        <w:tc>
          <w:tcPr>
            <w:tcW w:type="dxa" w:w="964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7"/>
              </w:rPr>
              <w:t>Duração</w:t>
            </w:r>
          </w:p>
        </w:tc>
        <w:tc>
          <w:tcPr>
            <w:tcW w:type="dxa" w:w="2268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7"/>
              </w:rPr>
              <w:t>Responsável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6"/>
              </w:rPr>
              <w:t>0 · Fundação &amp; Governança</w:t>
            </w:r>
          </w:p>
        </w:tc>
        <w:tc>
          <w:tcPr>
            <w:tcW w:type="dxa" w:w="1644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Destravar o projeto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Brand owner nomeado; decisão make-or-buy; brief mestre; orçamento aprovado</w:t>
            </w:r>
          </w:p>
        </w:tc>
        <w:tc>
          <w:tcPr>
            <w:tcW w:type="dxa" w:w="964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~M1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Conselho + Brand Owner</w:t>
            </w:r>
          </w:p>
        </w:tc>
      </w:tr>
      <w:tr>
        <w:tc>
          <w:tcPr>
            <w:tcW w:type="dxa" w:w="1701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6"/>
              </w:rPr>
              <w:t>1 · Auditoria &amp; Diagnóstico</w:t>
            </w:r>
          </w:p>
        </w:tc>
        <w:tc>
          <w:tcPr>
            <w:tcW w:type="dxa" w:w="1644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Medir a percepção real</w:t>
            </w:r>
          </w:p>
        </w:tc>
        <w:tc>
          <w:tcPr>
            <w:tcW w:type="dxa" w:w="3061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Relatório de Diagnóstico de Marca (interno/externo/competitivo)</w:t>
            </w:r>
          </w:p>
        </w:tc>
        <w:tc>
          <w:tcPr>
            <w:tcW w:type="dxa" w:w="964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M1–M2</w:t>
            </w:r>
          </w:p>
        </w:tc>
        <w:tc>
          <w:tcPr>
            <w:tcW w:type="dxa" w:w="2268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Brand Owner + Consultoria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6"/>
              </w:rPr>
              <w:t>2 · Estratégia &amp; Plataforma</w:t>
            </w:r>
          </w:p>
        </w:tc>
        <w:tc>
          <w:tcPr>
            <w:tcW w:type="dxa" w:w="1644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Definir o rumo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Plataforma de marca; arquitetura; posicionamento; tom de voz; naming</w:t>
            </w:r>
          </w:p>
        </w:tc>
        <w:tc>
          <w:tcPr>
            <w:tcW w:type="dxa" w:w="964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M2–M3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Consultoria + Conselho</w:t>
            </w:r>
          </w:p>
        </w:tc>
      </w:tr>
      <w:tr>
        <w:tc>
          <w:tcPr>
            <w:tcW w:type="dxa" w:w="1701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6"/>
              </w:rPr>
              <w:t>3 · Sistema de Identidade</w:t>
            </w:r>
          </w:p>
        </w:tc>
        <w:tc>
          <w:tcPr>
            <w:tcW w:type="dxa" w:w="1644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Documentar a marca</w:t>
            </w:r>
          </w:p>
        </w:tc>
        <w:tc>
          <w:tcPr>
            <w:tcW w:type="dxa" w:w="3061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Design system; brand book; identidade verbal; templates; kit marca pessoal</w:t>
            </w:r>
          </w:p>
        </w:tc>
        <w:tc>
          <w:tcPr>
            <w:tcW w:type="dxa" w:w="964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M3–M5</w:t>
            </w:r>
          </w:p>
        </w:tc>
        <w:tc>
          <w:tcPr>
            <w:tcW w:type="dxa" w:w="2268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Designer + Redator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6"/>
              </w:rPr>
              <w:t>4 · Ativação &amp; Lançamento</w:t>
            </w:r>
          </w:p>
        </w:tc>
        <w:tc>
          <w:tcPr>
            <w:tcW w:type="dxa" w:w="1644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Levar ao mercado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Site; redes; conteúdo/Reforma; rollout interno; PR</w:t>
            </w:r>
          </w:p>
        </w:tc>
        <w:tc>
          <w:tcPr>
            <w:tcW w:type="dxa" w:w="964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M5–M8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Agência + Brand Owner</w:t>
            </w:r>
          </w:p>
        </w:tc>
      </w:tr>
      <w:tr>
        <w:tc>
          <w:tcPr>
            <w:tcW w:type="dxa" w:w="1701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6"/>
              </w:rPr>
              <w:t>5 · Gestão &amp; Mensuração</w:t>
            </w:r>
          </w:p>
        </w:tc>
        <w:tc>
          <w:tcPr>
            <w:tcW w:type="dxa" w:w="1644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Sustentar e medir</w:t>
            </w:r>
          </w:p>
        </w:tc>
        <w:tc>
          <w:tcPr>
            <w:tcW w:type="dxa" w:w="3061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Governança; KPIs; auditoria de consistência; revisão semestral</w:t>
            </w:r>
          </w:p>
        </w:tc>
        <w:tc>
          <w:tcPr>
            <w:tcW w:type="dxa" w:w="964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M8+ (contínuo)</w:t>
            </w:r>
          </w:p>
        </w:tc>
        <w:tc>
          <w:tcPr>
            <w:tcW w:type="dxa" w:w="2268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Brand Owner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FFF8EC"/>
            <w:tcBorders>
              <w:top w:val="single" w:sz="4" w:space="0" w:color="E8D3A8"/>
              <w:bottom w:val="single" w:sz="4" w:space="0" w:color="E8D3A8"/>
              <w:right w:val="single" w:sz="4" w:space="0" w:color="E8D3A8"/>
              <w:left w:val="single" w:sz="26" w:space="0" w:color="C6A15B"/>
            </w:tcBorders>
            <w:tcMar>
              <w:top w:w="110" w:type="dxa"/>
              <w:bottom w:w="110" w:type="dxa"/>
              <w:start w:w="20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Montserrat" w:hAnsi="Montserrat"/>
                <w:b/>
                <w:color w:val="7A5A1E"/>
                <w:sz w:val="21"/>
              </w:rPr>
              <w:t>⬧ PROPOSTA — calendário indicativo (a validar na Fase 0)</w:t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 w:val="0"/>
                <w:color w:val="3A2E14"/>
                <w:sz w:val="19"/>
              </w:rPr>
              <w:t>Se o kickoff ocorrer em ~Set/2026, o núcleo do projeto se estende até ~Abr/2027, com a marca ativada no mercado no 1º semestre de 2027 — a tempo de surfar o pico da conversa da Reforma. Datas dependem do modelo de contratação e do orçamento aprovado.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</w:pPr>
      <w:r>
        <w:t>14. Stakeholders &amp; Matriz RACI</w:t>
      </w:r>
    </w:p>
    <w:p>
      <w:pPr>
        <w:spacing w:after="120" w:before="0"/>
      </w:pPr>
      <w:r>
        <w:rPr>
          <w:rFonts w:ascii="Inter" w:hAnsi="Inter"/>
          <w:b/>
          <w:i w:val="0"/>
          <w:color w:val="141414"/>
          <w:sz w:val="19"/>
        </w:rPr>
        <w:t xml:space="preserve">Legenda: </w:t>
      </w:r>
      <w:r>
        <w:rPr>
          <w:rFonts w:ascii="Inter" w:hAnsi="Inter"/>
          <w:b/>
          <w:i w:val="0"/>
          <w:color w:val="010860"/>
          <w:sz w:val="19"/>
        </w:rPr>
        <w:t>R</w:t>
      </w:r>
      <w:r>
        <w:rPr>
          <w:rFonts w:ascii="Inter" w:hAnsi="Inter"/>
          <w:b w:val="0"/>
          <w:i w:val="0"/>
          <w:color w:val="141414"/>
          <w:sz w:val="19"/>
        </w:rPr>
        <w:t xml:space="preserve"> = Responsável (executa) · </w:t>
      </w:r>
      <w:r>
        <w:rPr>
          <w:rFonts w:ascii="Inter" w:hAnsi="Inter"/>
          <w:b/>
          <w:i w:val="0"/>
          <w:color w:val="010860"/>
          <w:sz w:val="19"/>
        </w:rPr>
        <w:t>A</w:t>
      </w:r>
      <w:r>
        <w:rPr>
          <w:rFonts w:ascii="Inter" w:hAnsi="Inter"/>
          <w:b w:val="0"/>
          <w:i w:val="0"/>
          <w:color w:val="141414"/>
          <w:sz w:val="19"/>
        </w:rPr>
        <w:t xml:space="preserve"> = Aprova (dono da decisão) · </w:t>
      </w:r>
      <w:r>
        <w:rPr>
          <w:rFonts w:ascii="Inter" w:hAnsi="Inter"/>
          <w:b/>
          <w:i w:val="0"/>
          <w:color w:val="010860"/>
          <w:sz w:val="19"/>
        </w:rPr>
        <w:t>C</w:t>
      </w:r>
      <w:r>
        <w:rPr>
          <w:rFonts w:ascii="Inter" w:hAnsi="Inter"/>
          <w:b w:val="0"/>
          <w:i w:val="0"/>
          <w:color w:val="141414"/>
          <w:sz w:val="19"/>
        </w:rPr>
        <w:t xml:space="preserve"> = Consultado · </w:t>
      </w:r>
      <w:r>
        <w:rPr>
          <w:rFonts w:ascii="Inter" w:hAnsi="Inter"/>
          <w:b/>
          <w:i w:val="0"/>
          <w:color w:val="010860"/>
          <w:sz w:val="19"/>
        </w:rPr>
        <w:t>I</w:t>
      </w:r>
      <w:r>
        <w:rPr>
          <w:rFonts w:ascii="Inter" w:hAnsi="Inter"/>
          <w:b w:val="0"/>
          <w:i w:val="0"/>
          <w:color w:val="141414"/>
          <w:sz w:val="19"/>
        </w:rPr>
        <w:t xml:space="preserve"> = Informado.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2098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5"/>
              </w:rPr>
              <w:t>Frente / Decisão</w:t>
            </w:r>
          </w:p>
        </w:tc>
        <w:tc>
          <w:tcPr>
            <w:tcW w:type="dxa" w:w="943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5"/>
              </w:rPr>
              <w:t>Conselho</w:t>
            </w:r>
          </w:p>
        </w:tc>
        <w:tc>
          <w:tcPr>
            <w:tcW w:type="dxa" w:w="943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5"/>
              </w:rPr>
              <w:t>Brand Owner</w:t>
            </w:r>
          </w:p>
        </w:tc>
        <w:tc>
          <w:tcPr>
            <w:tcW w:type="dxa" w:w="943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5"/>
              </w:rPr>
              <w:t>Melina (MKT)</w:t>
            </w:r>
          </w:p>
        </w:tc>
        <w:tc>
          <w:tcPr>
            <w:tcW w:type="dxa" w:w="943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5"/>
              </w:rPr>
              <w:t>Cleber (Com.)</w:t>
            </w:r>
          </w:p>
        </w:tc>
        <w:tc>
          <w:tcPr>
            <w:tcW w:type="dxa" w:w="943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5"/>
              </w:rPr>
              <w:t>Ulisses (Parc.)</w:t>
            </w:r>
          </w:p>
        </w:tc>
        <w:tc>
          <w:tcPr>
            <w:tcW w:type="dxa" w:w="943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5"/>
              </w:rPr>
              <w:t>Alexandre (Jur.)</w:t>
            </w:r>
          </w:p>
        </w:tc>
        <w:tc>
          <w:tcPr>
            <w:tcW w:type="dxa" w:w="943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5"/>
              </w:rPr>
              <w:t>Vili (TI)</w:t>
            </w:r>
          </w:p>
        </w:tc>
        <w:tc>
          <w:tcPr>
            <w:tcW w:type="dxa" w:w="943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5"/>
              </w:rPr>
              <w:t>Fornecedor</w:t>
            </w:r>
          </w:p>
        </w:tc>
      </w:tr>
      <w:tr>
        <w:tc>
          <w:tcPr>
            <w:tcW w:type="dxa" w:w="2098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5"/>
              </w:rPr>
              <w:t>Patrocínio &amp; orçamento</w:t>
            </w:r>
          </w:p>
        </w:tc>
        <w:tc>
          <w:tcPr>
            <w:tcW w:type="dxa" w:w="94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5"/>
              </w:rPr>
              <w:t>A</w:t>
            </w:r>
          </w:p>
        </w:tc>
        <w:tc>
          <w:tcPr>
            <w:tcW w:type="dxa" w:w="94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5"/>
              </w:rPr>
              <w:t>R</w:t>
            </w:r>
          </w:p>
        </w:tc>
        <w:tc>
          <w:tcPr>
            <w:tcW w:type="dxa" w:w="94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5"/>
              </w:rPr>
              <w:t>C</w:t>
            </w:r>
          </w:p>
        </w:tc>
        <w:tc>
          <w:tcPr>
            <w:tcW w:type="dxa" w:w="94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5"/>
              </w:rPr>
              <w:t>I</w:t>
            </w:r>
          </w:p>
        </w:tc>
        <w:tc>
          <w:tcPr>
            <w:tcW w:type="dxa" w:w="94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5"/>
              </w:rPr>
              <w:t>I</w:t>
            </w:r>
          </w:p>
        </w:tc>
        <w:tc>
          <w:tcPr>
            <w:tcW w:type="dxa" w:w="94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5"/>
              </w:rPr>
              <w:t>I</w:t>
            </w:r>
          </w:p>
        </w:tc>
        <w:tc>
          <w:tcPr>
            <w:tcW w:type="dxa" w:w="94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5"/>
              </w:rPr>
              <w:t>I</w:t>
            </w:r>
          </w:p>
        </w:tc>
        <w:tc>
          <w:tcPr>
            <w:tcW w:type="dxa" w:w="94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5"/>
              </w:rPr>
              <w:t>I</w:t>
            </w:r>
          </w:p>
        </w:tc>
      </w:tr>
      <w:tr>
        <w:tc>
          <w:tcPr>
            <w:tcW w:type="dxa" w:w="2098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5"/>
              </w:rPr>
              <w:t>Estratégia &amp; plataforma</w:t>
            </w:r>
          </w:p>
        </w:tc>
        <w:tc>
          <w:tcPr>
            <w:tcW w:type="dxa" w:w="943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5"/>
              </w:rPr>
              <w:t>A</w:t>
            </w:r>
          </w:p>
        </w:tc>
        <w:tc>
          <w:tcPr>
            <w:tcW w:type="dxa" w:w="943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5"/>
              </w:rPr>
              <w:t>R</w:t>
            </w:r>
          </w:p>
        </w:tc>
        <w:tc>
          <w:tcPr>
            <w:tcW w:type="dxa" w:w="943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5"/>
              </w:rPr>
              <w:t>C</w:t>
            </w:r>
          </w:p>
        </w:tc>
        <w:tc>
          <w:tcPr>
            <w:tcW w:type="dxa" w:w="943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5"/>
              </w:rPr>
              <w:t>C</w:t>
            </w:r>
          </w:p>
        </w:tc>
        <w:tc>
          <w:tcPr>
            <w:tcW w:type="dxa" w:w="943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5"/>
              </w:rPr>
              <w:t>C</w:t>
            </w:r>
          </w:p>
        </w:tc>
        <w:tc>
          <w:tcPr>
            <w:tcW w:type="dxa" w:w="943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5"/>
              </w:rPr>
              <w:t>I</w:t>
            </w:r>
          </w:p>
        </w:tc>
        <w:tc>
          <w:tcPr>
            <w:tcW w:type="dxa" w:w="943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5"/>
              </w:rPr>
              <w:t>I</w:t>
            </w:r>
          </w:p>
        </w:tc>
        <w:tc>
          <w:tcPr>
            <w:tcW w:type="dxa" w:w="943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5"/>
              </w:rPr>
              <w:t>R</w:t>
            </w:r>
          </w:p>
        </w:tc>
      </w:tr>
      <w:tr>
        <w:tc>
          <w:tcPr>
            <w:tcW w:type="dxa" w:w="2098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5"/>
              </w:rPr>
              <w:t>Arquitetura de marca</w:t>
            </w:r>
          </w:p>
        </w:tc>
        <w:tc>
          <w:tcPr>
            <w:tcW w:type="dxa" w:w="94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5"/>
              </w:rPr>
              <w:t>A</w:t>
            </w:r>
          </w:p>
        </w:tc>
        <w:tc>
          <w:tcPr>
            <w:tcW w:type="dxa" w:w="94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5"/>
              </w:rPr>
              <w:t>R</w:t>
            </w:r>
          </w:p>
        </w:tc>
        <w:tc>
          <w:tcPr>
            <w:tcW w:type="dxa" w:w="94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5"/>
              </w:rPr>
              <w:t>C</w:t>
            </w:r>
          </w:p>
        </w:tc>
        <w:tc>
          <w:tcPr>
            <w:tcW w:type="dxa" w:w="94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5"/>
              </w:rPr>
              <w:t>C</w:t>
            </w:r>
          </w:p>
        </w:tc>
        <w:tc>
          <w:tcPr>
            <w:tcW w:type="dxa" w:w="94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5"/>
              </w:rPr>
              <w:t>C</w:t>
            </w:r>
          </w:p>
        </w:tc>
        <w:tc>
          <w:tcPr>
            <w:tcW w:type="dxa" w:w="94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5"/>
              </w:rPr>
              <w:t>C</w:t>
            </w:r>
          </w:p>
        </w:tc>
        <w:tc>
          <w:tcPr>
            <w:tcW w:type="dxa" w:w="94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5"/>
              </w:rPr>
              <w:t>I</w:t>
            </w:r>
          </w:p>
        </w:tc>
        <w:tc>
          <w:tcPr>
            <w:tcW w:type="dxa" w:w="94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5"/>
              </w:rPr>
              <w:t>C</w:t>
            </w:r>
          </w:p>
        </w:tc>
      </w:tr>
      <w:tr>
        <w:tc>
          <w:tcPr>
            <w:tcW w:type="dxa" w:w="2098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5"/>
              </w:rPr>
              <w:t>Identidade visual/verbal</w:t>
            </w:r>
          </w:p>
        </w:tc>
        <w:tc>
          <w:tcPr>
            <w:tcW w:type="dxa" w:w="943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5"/>
              </w:rPr>
              <w:t>C</w:t>
            </w:r>
          </w:p>
        </w:tc>
        <w:tc>
          <w:tcPr>
            <w:tcW w:type="dxa" w:w="943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5"/>
              </w:rPr>
              <w:t>A/R</w:t>
            </w:r>
          </w:p>
        </w:tc>
        <w:tc>
          <w:tcPr>
            <w:tcW w:type="dxa" w:w="943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5"/>
              </w:rPr>
              <w:t>C</w:t>
            </w:r>
          </w:p>
        </w:tc>
        <w:tc>
          <w:tcPr>
            <w:tcW w:type="dxa" w:w="943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5"/>
              </w:rPr>
              <w:t>I</w:t>
            </w:r>
          </w:p>
        </w:tc>
        <w:tc>
          <w:tcPr>
            <w:tcW w:type="dxa" w:w="943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5"/>
              </w:rPr>
              <w:t>I</w:t>
            </w:r>
          </w:p>
        </w:tc>
        <w:tc>
          <w:tcPr>
            <w:tcW w:type="dxa" w:w="943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5"/>
              </w:rPr>
              <w:t>I</w:t>
            </w:r>
          </w:p>
        </w:tc>
        <w:tc>
          <w:tcPr>
            <w:tcW w:type="dxa" w:w="943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5"/>
              </w:rPr>
              <w:t>I</w:t>
            </w:r>
          </w:p>
        </w:tc>
        <w:tc>
          <w:tcPr>
            <w:tcW w:type="dxa" w:w="943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5"/>
              </w:rPr>
              <w:t>R</w:t>
            </w:r>
          </w:p>
        </w:tc>
      </w:tr>
      <w:tr>
        <w:tc>
          <w:tcPr>
            <w:tcW w:type="dxa" w:w="2098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5"/>
              </w:rPr>
              <w:t>Presença digital &amp; conteúdo</w:t>
            </w:r>
          </w:p>
        </w:tc>
        <w:tc>
          <w:tcPr>
            <w:tcW w:type="dxa" w:w="94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5"/>
              </w:rPr>
              <w:t>I</w:t>
            </w:r>
          </w:p>
        </w:tc>
        <w:tc>
          <w:tcPr>
            <w:tcW w:type="dxa" w:w="94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5"/>
              </w:rPr>
              <w:t>A/R</w:t>
            </w:r>
          </w:p>
        </w:tc>
        <w:tc>
          <w:tcPr>
            <w:tcW w:type="dxa" w:w="94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5"/>
              </w:rPr>
              <w:t>C</w:t>
            </w:r>
          </w:p>
        </w:tc>
        <w:tc>
          <w:tcPr>
            <w:tcW w:type="dxa" w:w="94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5"/>
              </w:rPr>
              <w:t>C</w:t>
            </w:r>
          </w:p>
        </w:tc>
        <w:tc>
          <w:tcPr>
            <w:tcW w:type="dxa" w:w="94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5"/>
              </w:rPr>
              <w:t>C</w:t>
            </w:r>
          </w:p>
        </w:tc>
        <w:tc>
          <w:tcPr>
            <w:tcW w:type="dxa" w:w="94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5"/>
              </w:rPr>
              <w:t>I</w:t>
            </w:r>
          </w:p>
        </w:tc>
        <w:tc>
          <w:tcPr>
            <w:tcW w:type="dxa" w:w="94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5"/>
              </w:rPr>
              <w:t>C</w:t>
            </w:r>
          </w:p>
        </w:tc>
        <w:tc>
          <w:tcPr>
            <w:tcW w:type="dxa" w:w="94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5"/>
              </w:rPr>
              <w:t>R</w:t>
            </w:r>
          </w:p>
        </w:tc>
      </w:tr>
      <w:tr>
        <w:tc>
          <w:tcPr>
            <w:tcW w:type="dxa" w:w="2098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5"/>
              </w:rPr>
              <w:t>Marca pessoal (executivos)</w:t>
            </w:r>
          </w:p>
        </w:tc>
        <w:tc>
          <w:tcPr>
            <w:tcW w:type="dxa" w:w="943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5"/>
              </w:rPr>
              <w:t>I</w:t>
            </w:r>
          </w:p>
        </w:tc>
        <w:tc>
          <w:tcPr>
            <w:tcW w:type="dxa" w:w="943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5"/>
              </w:rPr>
              <w:t>R</w:t>
            </w:r>
          </w:p>
        </w:tc>
        <w:tc>
          <w:tcPr>
            <w:tcW w:type="dxa" w:w="943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5"/>
              </w:rPr>
              <w:t>C</w:t>
            </w:r>
          </w:p>
        </w:tc>
        <w:tc>
          <w:tcPr>
            <w:tcW w:type="dxa" w:w="943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5"/>
              </w:rPr>
              <w:t>A</w:t>
            </w:r>
          </w:p>
        </w:tc>
        <w:tc>
          <w:tcPr>
            <w:tcW w:type="dxa" w:w="943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5"/>
              </w:rPr>
              <w:t>C</w:t>
            </w:r>
          </w:p>
        </w:tc>
        <w:tc>
          <w:tcPr>
            <w:tcW w:type="dxa" w:w="943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5"/>
              </w:rPr>
              <w:t>C</w:t>
            </w:r>
          </w:p>
        </w:tc>
        <w:tc>
          <w:tcPr>
            <w:tcW w:type="dxa" w:w="943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5"/>
              </w:rPr>
              <w:t>C</w:t>
            </w:r>
          </w:p>
        </w:tc>
        <w:tc>
          <w:tcPr>
            <w:tcW w:type="dxa" w:w="943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5"/>
              </w:rPr>
              <w:t>C</w:t>
            </w:r>
          </w:p>
        </w:tc>
      </w:tr>
      <w:tr>
        <w:tc>
          <w:tcPr>
            <w:tcW w:type="dxa" w:w="2098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5"/>
              </w:rPr>
              <w:t>Registro INPI</w:t>
            </w:r>
          </w:p>
        </w:tc>
        <w:tc>
          <w:tcPr>
            <w:tcW w:type="dxa" w:w="94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5"/>
              </w:rPr>
              <w:t>A</w:t>
            </w:r>
          </w:p>
        </w:tc>
        <w:tc>
          <w:tcPr>
            <w:tcW w:type="dxa" w:w="94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5"/>
              </w:rPr>
              <w:t>C</w:t>
            </w:r>
          </w:p>
        </w:tc>
        <w:tc>
          <w:tcPr>
            <w:tcW w:type="dxa" w:w="94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5"/>
              </w:rPr>
              <w:t>I</w:t>
            </w:r>
          </w:p>
        </w:tc>
        <w:tc>
          <w:tcPr>
            <w:tcW w:type="dxa" w:w="94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5"/>
              </w:rPr>
              <w:t>I</w:t>
            </w:r>
          </w:p>
        </w:tc>
        <w:tc>
          <w:tcPr>
            <w:tcW w:type="dxa" w:w="94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5"/>
              </w:rPr>
              <w:t>I</w:t>
            </w:r>
          </w:p>
        </w:tc>
        <w:tc>
          <w:tcPr>
            <w:tcW w:type="dxa" w:w="94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5"/>
              </w:rPr>
              <w:t>R</w:t>
            </w:r>
          </w:p>
        </w:tc>
        <w:tc>
          <w:tcPr>
            <w:tcW w:type="dxa" w:w="94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5"/>
              </w:rPr>
              <w:t>I</w:t>
            </w:r>
          </w:p>
        </w:tc>
        <w:tc>
          <w:tcPr>
            <w:tcW w:type="dxa" w:w="94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5"/>
              </w:rPr>
              <w:t>C</w:t>
            </w:r>
          </w:p>
        </w:tc>
      </w:tr>
      <w:tr>
        <w:tc>
          <w:tcPr>
            <w:tcW w:type="dxa" w:w="2098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5"/>
              </w:rPr>
              <w:t>Governança &amp; consistência</w:t>
            </w:r>
          </w:p>
        </w:tc>
        <w:tc>
          <w:tcPr>
            <w:tcW w:type="dxa" w:w="943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5"/>
              </w:rPr>
              <w:t>I</w:t>
            </w:r>
          </w:p>
        </w:tc>
        <w:tc>
          <w:tcPr>
            <w:tcW w:type="dxa" w:w="943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5"/>
              </w:rPr>
              <w:t>A/R</w:t>
            </w:r>
          </w:p>
        </w:tc>
        <w:tc>
          <w:tcPr>
            <w:tcW w:type="dxa" w:w="943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5"/>
              </w:rPr>
              <w:t>C</w:t>
            </w:r>
          </w:p>
        </w:tc>
        <w:tc>
          <w:tcPr>
            <w:tcW w:type="dxa" w:w="943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5"/>
              </w:rPr>
              <w:t>C</w:t>
            </w:r>
          </w:p>
        </w:tc>
        <w:tc>
          <w:tcPr>
            <w:tcW w:type="dxa" w:w="943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5"/>
              </w:rPr>
              <w:t>C</w:t>
            </w:r>
          </w:p>
        </w:tc>
        <w:tc>
          <w:tcPr>
            <w:tcW w:type="dxa" w:w="943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5"/>
              </w:rPr>
              <w:t>I</w:t>
            </w:r>
          </w:p>
        </w:tc>
        <w:tc>
          <w:tcPr>
            <w:tcW w:type="dxa" w:w="943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5"/>
              </w:rPr>
              <w:t>I</w:t>
            </w:r>
          </w:p>
        </w:tc>
        <w:tc>
          <w:tcPr>
            <w:tcW w:type="dxa" w:w="943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5"/>
              </w:rPr>
              <w:t>I</w:t>
            </w:r>
          </w:p>
        </w:tc>
      </w:tr>
      <w:tr>
        <w:tc>
          <w:tcPr>
            <w:tcW w:type="dxa" w:w="2098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5"/>
              </w:rPr>
              <w:t>TI / domínios / infra</w:t>
            </w:r>
          </w:p>
        </w:tc>
        <w:tc>
          <w:tcPr>
            <w:tcW w:type="dxa" w:w="94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5"/>
              </w:rPr>
              <w:t>I</w:t>
            </w:r>
          </w:p>
        </w:tc>
        <w:tc>
          <w:tcPr>
            <w:tcW w:type="dxa" w:w="94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5"/>
              </w:rPr>
              <w:t>C</w:t>
            </w:r>
          </w:p>
        </w:tc>
        <w:tc>
          <w:tcPr>
            <w:tcW w:type="dxa" w:w="94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5"/>
              </w:rPr>
              <w:t>I</w:t>
            </w:r>
          </w:p>
        </w:tc>
        <w:tc>
          <w:tcPr>
            <w:tcW w:type="dxa" w:w="94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5"/>
              </w:rPr>
              <w:t>I</w:t>
            </w:r>
          </w:p>
        </w:tc>
        <w:tc>
          <w:tcPr>
            <w:tcW w:type="dxa" w:w="94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5"/>
              </w:rPr>
              <w:t>I</w:t>
            </w:r>
          </w:p>
        </w:tc>
        <w:tc>
          <w:tcPr>
            <w:tcW w:type="dxa" w:w="94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5"/>
              </w:rPr>
              <w:t>I</w:t>
            </w:r>
          </w:p>
        </w:tc>
        <w:tc>
          <w:tcPr>
            <w:tcW w:type="dxa" w:w="94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5"/>
              </w:rPr>
              <w:t>A/R</w:t>
            </w:r>
          </w:p>
        </w:tc>
        <w:tc>
          <w:tcPr>
            <w:tcW w:type="dxa" w:w="94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5"/>
              </w:rPr>
              <w:t>C</w:t>
            </w:r>
          </w:p>
        </w:tc>
      </w:tr>
    </w:tbl>
    <w:p>
      <w:pPr>
        <w:spacing w:after="40"/>
      </w:pPr>
    </w:p>
    <w:p>
      <w:pPr>
        <w:spacing w:before="40" w:after="200"/>
        <w:jc w:val="center"/>
      </w:pPr>
      <w:r>
        <w:rPr>
          <w:rFonts w:ascii="Inter" w:hAnsi="Inter"/>
          <w:i/>
          <w:color w:val="5A5A5A"/>
          <w:sz w:val="17"/>
        </w:rPr>
        <w:t>O Brand Owner é o eixo do projeto (R ou A na maioria das frentes) — o que reforça por que a Fase 0 (nomeá-lo) é pré-requisito de tudo.</w:t>
      </w:r>
    </w:p>
    <w:p>
      <w:pPr>
        <w:pStyle w:val="Heading2"/>
      </w:pPr>
      <w:r>
        <w:t>15. Equipe necessária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1"/>
        </w:rPr>
        <w:t>A equipe combina um núcleo interno enxuto (para deter o conhecimento e a marca) com capacidade externa especializada (para escala e execução). O detalhe do modelo make-or-buy está na seção 16.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7"/>
              </w:rPr>
              <w:t>Papel</w:t>
            </w:r>
          </w:p>
        </w:tc>
        <w:tc>
          <w:tcPr>
            <w:tcW w:type="dxa" w:w="1814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7"/>
              </w:rPr>
              <w:t>Interno/Externo</w:t>
            </w:r>
          </w:p>
        </w:tc>
        <w:tc>
          <w:tcPr>
            <w:tcW w:type="dxa" w:w="3402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7"/>
              </w:rPr>
              <w:t>Responsabilidade</w:t>
            </w:r>
          </w:p>
        </w:tc>
        <w:tc>
          <w:tcPr>
            <w:tcW w:type="dxa" w:w="2041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7"/>
              </w:rPr>
              <w:t>Dedicação / fase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6"/>
              </w:rPr>
              <w:t>Brand Owner / Coord. de Marketing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INTERNO — a contratar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Dono da marca: estratégia, briefing, cobrança de fornecedores, governança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Integral · todas as fases · crítico</w:t>
            </w:r>
          </w:p>
        </w:tc>
      </w:tr>
      <w:tr>
        <w:tc>
          <w:tcPr>
            <w:tcW w:type="dxa" w:w="2381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6"/>
              </w:rPr>
              <w:t>Sponsor executivo (mentora)</w:t>
            </w:r>
          </w:p>
        </w:tc>
        <w:tc>
          <w:tcPr>
            <w:tcW w:type="dxa" w:w="1814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INTERNO — Melina F. dos Santos</w:t>
            </w:r>
          </w:p>
        </w:tc>
        <w:tc>
          <w:tcPr>
            <w:tcW w:type="dxa" w:w="3402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Padrão de qualidade, direção de marca, conselho</w:t>
            </w:r>
          </w:p>
        </w:tc>
        <w:tc>
          <w:tcPr>
            <w:tcW w:type="dxa" w:w="2041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Pontual/consultiva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6"/>
              </w:rPr>
              <w:t>Brand Strategist / Consultoria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EXTERNO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Auditoria, plataforma, arquitetura, posicionamento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Projeto · Fases 1–2</w:t>
            </w:r>
          </w:p>
        </w:tc>
      </w:tr>
      <w:tr>
        <w:tc>
          <w:tcPr>
            <w:tcW w:type="dxa" w:w="2381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6"/>
              </w:rPr>
              <w:t>Designer / Diretor de Arte</w:t>
            </w:r>
          </w:p>
        </w:tc>
        <w:tc>
          <w:tcPr>
            <w:tcW w:type="dxa" w:w="1814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EXTERNO ou freelancer</w:t>
            </w:r>
          </w:p>
        </w:tc>
        <w:tc>
          <w:tcPr>
            <w:tcW w:type="dxa" w:w="3402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Design system, brand book, aplicações</w:t>
            </w:r>
          </w:p>
        </w:tc>
        <w:tc>
          <w:tcPr>
            <w:tcW w:type="dxa" w:w="2041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Fases 3–4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6"/>
              </w:rPr>
              <w:t>Redator / Copywriter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EXTERNO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Identidade verbal, narrativa, conteúdo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Fases 3–5</w:t>
            </w:r>
          </w:p>
        </w:tc>
      </w:tr>
      <w:tr>
        <w:tc>
          <w:tcPr>
            <w:tcW w:type="dxa" w:w="2381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6"/>
              </w:rPr>
              <w:t>Social Media / Conteúdo</w:t>
            </w:r>
          </w:p>
        </w:tc>
        <w:tc>
          <w:tcPr>
            <w:tcW w:type="dxa" w:w="1814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EXTERNO ou interno júnior</w:t>
            </w:r>
          </w:p>
        </w:tc>
        <w:tc>
          <w:tcPr>
            <w:tcW w:type="dxa" w:w="3402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Redes, calendário editorial, amplificação</w:t>
            </w:r>
          </w:p>
        </w:tc>
        <w:tc>
          <w:tcPr>
            <w:tcW w:type="dxa" w:w="2041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Fase 4+ (contínuo)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6"/>
              </w:rPr>
              <w:t>Desenvolvimento web / Agência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EXTERNO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Site institucional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Fase 4</w:t>
            </w:r>
          </w:p>
        </w:tc>
      </w:tr>
      <w:tr>
        <w:tc>
          <w:tcPr>
            <w:tcW w:type="dxa" w:w="2381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6"/>
              </w:rPr>
              <w:t>Foto / Vídeo</w:t>
            </w:r>
          </w:p>
        </w:tc>
        <w:tc>
          <w:tcPr>
            <w:tcW w:type="dxa" w:w="1814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EXTERNO sob demanda</w:t>
            </w:r>
          </w:p>
        </w:tc>
        <w:tc>
          <w:tcPr>
            <w:tcW w:type="dxa" w:w="3402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Imagem sob medida (nunca banco de imagem)</w:t>
            </w:r>
          </w:p>
        </w:tc>
        <w:tc>
          <w:tcPr>
            <w:tcW w:type="dxa" w:w="2041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Fase 4+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6"/>
              </w:rPr>
              <w:t>Advogado de Marcas (INPI)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Alexandre + especialista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Registro e proteção da marca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Fases 0–1</w:t>
            </w:r>
          </w:p>
        </w:tc>
      </w:tr>
      <w:tr>
        <w:tc>
          <w:tcPr>
            <w:tcW w:type="dxa" w:w="2381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6"/>
              </w:rPr>
              <w:t>Assessoria de Imprensa (opcional)</w:t>
            </w:r>
          </w:p>
        </w:tc>
        <w:tc>
          <w:tcPr>
            <w:tcW w:type="dxa" w:w="1814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EXTERNO</w:t>
            </w:r>
          </w:p>
        </w:tc>
        <w:tc>
          <w:tcPr>
            <w:tcW w:type="dxa" w:w="3402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Autoridade de terceiros / mídia</w:t>
            </w:r>
          </w:p>
        </w:tc>
        <w:tc>
          <w:tcPr>
            <w:tcW w:type="dxa" w:w="2041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Fase 4+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16. Modelo de contratação &amp; orçamento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1"/>
        </w:rPr>
        <w:t>A Fase 0 decide entre três modelos de execução — cada um com um perfil de custo e controle: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1928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9"/>
              </w:rPr>
              <w:t>Modelo</w:t>
            </w:r>
          </w:p>
        </w:tc>
        <w:tc>
          <w:tcPr>
            <w:tcW w:type="dxa" w:w="3402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9"/>
              </w:rPr>
              <w:t>Como funciona</w:t>
            </w:r>
          </w:p>
        </w:tc>
        <w:tc>
          <w:tcPr>
            <w:tcW w:type="dxa" w:w="2211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9"/>
              </w:rPr>
              <w:t>Prós</w:t>
            </w:r>
          </w:p>
        </w:tc>
        <w:tc>
          <w:tcPr>
            <w:tcW w:type="dxa" w:w="2098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9"/>
              </w:rPr>
              <w:t>Contras</w:t>
            </w:r>
          </w:p>
        </w:tc>
      </w:tr>
      <w:tr>
        <w:tc>
          <w:tcPr>
            <w:tcW w:type="dxa" w:w="1928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6"/>
              </w:rPr>
              <w:t>A. Agência full-service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Uma agência conduz estratégia + criação + ativação</w:t>
            </w:r>
          </w:p>
        </w:tc>
        <w:tc>
          <w:tcPr>
            <w:tcW w:type="dxa" w:w="2211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Escala, uma só interface</w:t>
            </w:r>
          </w:p>
        </w:tc>
        <w:tc>
          <w:tcPr>
            <w:tcW w:type="dxa" w:w="2098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Maior custo; risco de genérico sem dono interno</w:t>
            </w:r>
          </w:p>
        </w:tc>
      </w:tr>
      <w:tr>
        <w:tc>
          <w:tcPr>
            <w:tcW w:type="dxa" w:w="1928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6"/>
              </w:rPr>
              <w:t>B. Especialista interno + freelas</w:t>
            </w:r>
          </w:p>
        </w:tc>
        <w:tc>
          <w:tcPr>
            <w:tcW w:type="dxa" w:w="3402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Brand Owner interno orquestra especialistas avulsos</w:t>
            </w:r>
          </w:p>
        </w:tc>
        <w:tc>
          <w:tcPr>
            <w:tcW w:type="dxa" w:w="2211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Controle, custo variável, conhecimento fica em casa</w:t>
            </w:r>
          </w:p>
        </w:tc>
        <w:tc>
          <w:tcPr>
            <w:tcW w:type="dxa" w:w="2098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Exige gestão ativa; depende do brand owner</w:t>
            </w:r>
          </w:p>
        </w:tc>
      </w:tr>
      <w:tr>
        <w:tc>
          <w:tcPr>
            <w:tcW w:type="dxa" w:w="1928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6"/>
              </w:rPr>
              <w:t>C. Híbrido (recomendado)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Brand Owner interno + consultoria de estratégia + execução por freelas/agência boutique</w:t>
            </w:r>
          </w:p>
        </w:tc>
        <w:tc>
          <w:tcPr>
            <w:tcW w:type="dxa" w:w="2211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Melhor relação controle × capacidade</w:t>
            </w:r>
          </w:p>
        </w:tc>
        <w:tc>
          <w:tcPr>
            <w:tcW w:type="dxa" w:w="2098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Requer o brand owner nomeado primeiro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FFF8EC"/>
            <w:tcBorders>
              <w:top w:val="single" w:sz="4" w:space="0" w:color="E8D3A8"/>
              <w:bottom w:val="single" w:sz="4" w:space="0" w:color="E8D3A8"/>
              <w:right w:val="single" w:sz="4" w:space="0" w:color="E8D3A8"/>
              <w:left w:val="single" w:sz="26" w:space="0" w:color="C6A15B"/>
            </w:tcBorders>
            <w:tcMar>
              <w:top w:w="110" w:type="dxa"/>
              <w:bottom w:w="110" w:type="dxa"/>
              <w:start w:w="20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Montserrat" w:hAnsi="Montserrat"/>
                <w:b/>
                <w:color w:val="7A5A1E"/>
                <w:sz w:val="21"/>
              </w:rPr>
              <w:t>⬧ PROPOSTA — linhas de investimento (faixas referenciais de mercado — PARÂMETRO A VALIDAR)</w:t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 w:val="0"/>
                <w:color w:val="3A2E14"/>
                <w:sz w:val="19"/>
              </w:rPr>
              <w:t>Faixas apenas para dimensionar a conversa — não são cotação. A Fase 0 fecha o orçamento real após o make-or-buy.</w:t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 w:val="0"/>
                <w:color w:val="3A2E14"/>
                <w:sz w:val="19"/>
              </w:rPr>
              <w:t>• Brand Owner interno (salário/ano) · • Consultoria de estratégia de marca (projeto, Fases 1–2) · • Design system + brand book (Fase 3) · • Site institucional (Fase 4) · • Produção de conteúdo/social (mensal, contínuo) · • Registro INPI (por classe) · • Mídia paga de lançamento (Fase 4, opcional).</w:t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/>
                <w:color w:val="7A5A1E"/>
                <w:sz w:val="19"/>
              </w:rPr>
              <w:t xml:space="preserve">Recomendação de mentor: </w:t>
            </w:r>
            <w:r>
              <w:rPr>
                <w:rFonts w:ascii="Inter" w:hAnsi="Inter"/>
                <w:b w:val="0"/>
                <w:color w:val="3A2E14"/>
                <w:sz w:val="19"/>
              </w:rPr>
              <w:t>tratar marca como investimento com retorno (encurta ciclo de venda, sustenta preço, reduz CAC), não como despesa — e faseá-lo, liberando orçamento por fase conforme os entregáveis são aprovados.</w:t>
            </w:r>
          </w:p>
        </w:tc>
      </w:tr>
    </w:tbl>
    <w:p>
      <w:pPr>
        <w:spacing w:after="80"/>
      </w:pPr>
    </w:p>
    <w:p>
      <w:pPr>
        <w:pStyle w:val="Heading2"/>
      </w:pPr>
      <w:r>
        <w:t>17. Riscos do projeto &amp; mitigação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2835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9"/>
              </w:rPr>
              <w:t>Risco</w:t>
            </w:r>
          </w:p>
        </w:tc>
        <w:tc>
          <w:tcPr>
            <w:tcW w:type="dxa" w:w="2494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9"/>
              </w:rPr>
              <w:t>Impacto</w:t>
            </w:r>
          </w:p>
        </w:tc>
        <w:tc>
          <w:tcPr>
            <w:tcW w:type="dxa" w:w="4309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9"/>
              </w:rPr>
              <w:t>Mitigação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6"/>
              </w:rPr>
              <w:t>Terceirizar sem brand owner interno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Material genérico, perda de controle</w:t>
            </w:r>
          </w:p>
        </w:tc>
        <w:tc>
          <w:tcPr>
            <w:tcW w:type="dxa" w:w="4309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Fase 0 nomeia o dono antes de contratar (Nota nº 1)</w:t>
            </w:r>
          </w:p>
        </w:tc>
      </w:tr>
      <w:tr>
        <w:tc>
          <w:tcPr>
            <w:tcW w:type="dxa" w:w="2835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6"/>
              </w:rPr>
              <w:t>Arquitetura de marca indefinida</w:t>
            </w:r>
          </w:p>
        </w:tc>
        <w:tc>
          <w:tcPr>
            <w:tcW w:type="dxa" w:w="2494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Retrabalho e diluição da marca</w:t>
            </w:r>
          </w:p>
        </w:tc>
        <w:tc>
          <w:tcPr>
            <w:tcW w:type="dxa" w:w="4309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Decisão do Conselho na Fase 2 (Nota nº 2)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6"/>
              </w:rPr>
              <w:t>Gastar em redesenho desnecessário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Orçamento no lugar errado</w:t>
            </w:r>
          </w:p>
        </w:tc>
        <w:tc>
          <w:tcPr>
            <w:tcW w:type="dxa" w:w="4309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Congelar identidade visual; focar em brand building (Nota nº 3)</w:t>
            </w:r>
          </w:p>
        </w:tc>
      </w:tr>
      <w:tr>
        <w:tc>
          <w:tcPr>
            <w:tcW w:type="dxa" w:w="2835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6"/>
              </w:rPr>
              <w:t>Marca sem registro (INPI)</w:t>
            </w:r>
          </w:p>
        </w:tc>
        <w:tc>
          <w:tcPr>
            <w:tcW w:type="dxa" w:w="2494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Risco jurídico ao ganhar visibilidade</w:t>
            </w:r>
          </w:p>
        </w:tc>
        <w:tc>
          <w:tcPr>
            <w:tcW w:type="dxa" w:w="4309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Registro nas Fases 0–1 (Nota nº 4)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6"/>
              </w:rPr>
              <w:t>Inconsistência na aplicação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Marca fraca apesar do investimento</w:t>
            </w:r>
          </w:p>
        </w:tc>
        <w:tc>
          <w:tcPr>
            <w:tcW w:type="dxa" w:w="4309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Brand book vivo + guardião + fluxo de aprovação (Nota nº 8)</w:t>
            </w:r>
          </w:p>
        </w:tc>
      </w:tr>
      <w:tr>
        <w:tc>
          <w:tcPr>
            <w:tcW w:type="dxa" w:w="2835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6"/>
              </w:rPr>
              <w:t>Executivo sai e leva audiência</w:t>
            </w:r>
          </w:p>
        </w:tc>
        <w:tc>
          <w:tcPr>
            <w:tcW w:type="dxa" w:w="2494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Perda de ativo de marca</w:t>
            </w:r>
          </w:p>
        </w:tc>
        <w:tc>
          <w:tcPr>
            <w:tcW w:type="dxa" w:w="4309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Acordo de marca pessoal + kit descentralizado (Nota nº 5)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6"/>
              </w:rPr>
              <w:t>Reforma muda o discurso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Mensagem desatualizada</w:t>
            </w:r>
          </w:p>
        </w:tc>
        <w:tc>
          <w:tcPr>
            <w:tcW w:type="dxa" w:w="4309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Narrativa modular, revisão semestral</w:t>
            </w:r>
          </w:p>
        </w:tc>
      </w:tr>
      <w:tr>
        <w:tc>
          <w:tcPr>
            <w:tcW w:type="dxa" w:w="2835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6"/>
              </w:rPr>
              <w:t>Orçamento subdimensionado</w:t>
            </w:r>
          </w:p>
        </w:tc>
        <w:tc>
          <w:tcPr>
            <w:tcW w:type="dxa" w:w="2494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Projeto trava no meio</w:t>
            </w:r>
          </w:p>
        </w:tc>
        <w:tc>
          <w:tcPr>
            <w:tcW w:type="dxa" w:w="4309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Faseamento com liberação por entregável aprovado</w:t>
            </w:r>
          </w:p>
        </w:tc>
      </w:tr>
    </w:tbl>
    <w:p>
      <w:pPr>
        <w:spacing w:after="40"/>
      </w:pPr>
    </w:p>
    <w:p>
      <w:pPr>
        <w:pStyle w:val="Heading2"/>
      </w:pPr>
      <w:r>
        <w:t>18. KPIs de marca &amp; mensuração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1"/>
        </w:rPr>
        <w:t>O que não se mede não se governa. A marca tem indicadores próprios — de percepção a impacto comercial: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2721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9"/>
              </w:rPr>
              <w:t>KPI</w:t>
            </w:r>
          </w:p>
        </w:tc>
        <w:tc>
          <w:tcPr>
            <w:tcW w:type="dxa" w:w="3628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9"/>
              </w:rPr>
              <w:t>O que mede</w:t>
            </w:r>
          </w:p>
        </w:tc>
        <w:tc>
          <w:tcPr>
            <w:tcW w:type="dxa" w:w="1701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9"/>
              </w:rPr>
              <w:t>Baseline</w:t>
            </w:r>
          </w:p>
        </w:tc>
        <w:tc>
          <w:tcPr>
            <w:tcW w:type="dxa" w:w="1587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9"/>
              </w:rPr>
              <w:t>Fonte</w:t>
            </w:r>
          </w:p>
        </w:tc>
      </w:tr>
      <w:tr>
        <w:tc>
          <w:tcPr>
            <w:tcW w:type="dxa" w:w="2721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6"/>
              </w:rPr>
              <w:t>Awareness (espontânea/assistida)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Lembrança da marca no público-alvo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A medir (Fase 1)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Pesquisa</w:t>
            </w:r>
          </w:p>
        </w:tc>
      </w:tr>
      <w:tr>
        <w:tc>
          <w:tcPr>
            <w:tcW w:type="dxa" w:w="2721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6"/>
              </w:rPr>
              <w:t>Share of voice</w:t>
            </w:r>
          </w:p>
        </w:tc>
        <w:tc>
          <w:tcPr>
            <w:tcW w:type="dxa" w:w="3628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Presença vs. concorrentes no tema tributário</w:t>
            </w:r>
          </w:p>
        </w:tc>
        <w:tc>
          <w:tcPr>
            <w:tcW w:type="dxa" w:w="1701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A medir</w:t>
            </w:r>
          </w:p>
        </w:tc>
        <w:tc>
          <w:tcPr>
            <w:tcW w:type="dxa" w:w="1587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Escuta digital</w:t>
            </w:r>
          </w:p>
        </w:tc>
      </w:tr>
      <w:tr>
        <w:tc>
          <w:tcPr>
            <w:tcW w:type="dxa" w:w="2721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6"/>
              </w:rPr>
              <w:t>Seguidores qualificados (LinkedIn)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Alcance B2B do canal principal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A medir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LinkedIn</w:t>
            </w:r>
          </w:p>
        </w:tc>
      </w:tr>
      <w:tr>
        <w:tc>
          <w:tcPr>
            <w:tcW w:type="dxa" w:w="2721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6"/>
              </w:rPr>
              <w:t>Engajamento / autoridade de conteúdo</w:t>
            </w:r>
          </w:p>
        </w:tc>
        <w:tc>
          <w:tcPr>
            <w:tcW w:type="dxa" w:w="3628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Ressonância do thought leadership</w:t>
            </w:r>
          </w:p>
        </w:tc>
        <w:tc>
          <w:tcPr>
            <w:tcW w:type="dxa" w:w="1701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A medir</w:t>
            </w:r>
          </w:p>
        </w:tc>
        <w:tc>
          <w:tcPr>
            <w:tcW w:type="dxa" w:w="1587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Analytics</w:t>
            </w:r>
          </w:p>
        </w:tc>
      </w:tr>
      <w:tr>
        <w:tc>
          <w:tcPr>
            <w:tcW w:type="dxa" w:w="2721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6"/>
              </w:rPr>
              <w:t>Leads inbound atribuídos à marca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Demanda gerada pela marca (não por outbound)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A medir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CRM (Twenty)</w:t>
            </w:r>
          </w:p>
        </w:tc>
      </w:tr>
      <w:tr>
        <w:tc>
          <w:tcPr>
            <w:tcW w:type="dxa" w:w="2721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6"/>
              </w:rPr>
              <w:t>Conformidade de marca (audit score)</w:t>
            </w:r>
          </w:p>
        </w:tc>
        <w:tc>
          <w:tcPr>
            <w:tcW w:type="dxa" w:w="3628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% de materiais dentro do brand book</w:t>
            </w:r>
          </w:p>
        </w:tc>
        <w:tc>
          <w:tcPr>
            <w:tcW w:type="dxa" w:w="1701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A medir</w:t>
            </w:r>
          </w:p>
        </w:tc>
        <w:tc>
          <w:tcPr>
            <w:tcW w:type="dxa" w:w="1587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Auditoria interna</w:t>
            </w:r>
          </w:p>
        </w:tc>
      </w:tr>
      <w:tr>
        <w:tc>
          <w:tcPr>
            <w:tcW w:type="dxa" w:w="2721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6"/>
              </w:rPr>
              <w:t>NPS de marca / reputação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Percepção e recomendação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A medir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Pesquisa/CS</w:t>
            </w:r>
          </w:p>
        </w:tc>
      </w:tr>
      <w:tr>
        <w:tc>
          <w:tcPr>
            <w:tcW w:type="dxa" w:w="2721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6"/>
              </w:rPr>
              <w:t>Ciclo médio de venda</w:t>
            </w:r>
          </w:p>
        </w:tc>
        <w:tc>
          <w:tcPr>
            <w:tcW w:type="dxa" w:w="3628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Marca forte encurta o fechamento</w:t>
            </w:r>
          </w:p>
        </w:tc>
        <w:tc>
          <w:tcPr>
            <w:tcW w:type="dxa" w:w="1701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Base atual (CRM)</w:t>
            </w:r>
          </w:p>
        </w:tc>
        <w:tc>
          <w:tcPr>
            <w:tcW w:type="dxa" w:w="1587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6"/>
              </w:rPr>
              <w:t>CRM (Twenty)</w:t>
            </w:r>
          </w:p>
        </w:tc>
      </w:tr>
    </w:tbl>
    <w:p>
      <w:pPr>
        <w:spacing w:after="40"/>
      </w:pPr>
    </w:p>
    <w:p>
      <w:pPr>
        <w:spacing w:before="40" w:after="200"/>
        <w:jc w:val="center"/>
      </w:pPr>
      <w:r>
        <w:rPr>
          <w:rFonts w:ascii="Inter" w:hAnsi="Inter"/>
          <w:i/>
          <w:color w:val="5A5A5A"/>
          <w:sz w:val="17"/>
        </w:rPr>
        <w:t>Os KPIs entram no cockpit de gestão (Twenty) e conectam a marca ao comercial — fechando o ciclo percepção → demanda → receita.</w:t>
      </w:r>
    </w:p>
    <w:p>
      <w:r>
        <w:br w:type="page"/>
      </w:r>
    </w:p>
    <w:p>
      <w:pPr>
        <w:pStyle w:val="Heading1"/>
      </w:pPr>
      <w:r>
        <w:t>Anexo A — Painel de Notas do Mentor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9"/>
              </w:rPr>
              <w:t>Nº</w:t>
            </w:r>
          </w:p>
        </w:tc>
        <w:tc>
          <w:tcPr>
            <w:tcW w:type="dxa" w:w="1361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9"/>
              </w:rPr>
              <w:t>Classe</w:t>
            </w:r>
          </w:p>
        </w:tc>
        <w:tc>
          <w:tcPr>
            <w:tcW w:type="dxa" w:w="2721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5102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9"/>
              </w:rPr>
              <w:t>Recomendação-síntese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1</w:t>
            </w:r>
          </w:p>
        </w:tc>
        <w:tc>
          <w:tcPr>
            <w:tcW w:type="dxa" w:w="1361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CRÍTICO</w:t>
            </w:r>
          </w:p>
        </w:tc>
        <w:tc>
          <w:tcPr>
            <w:tcW w:type="dxa" w:w="2721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Brand owner antes de terceirizar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Nomear o dono interno da marca na Fase 0; Melina = sponsor, não executor</w:t>
            </w:r>
          </w:p>
        </w:tc>
      </w:tr>
      <w:tr>
        <w:tc>
          <w:tcPr>
            <w:tcW w:type="dxa" w:w="454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2</w:t>
            </w:r>
          </w:p>
        </w:tc>
        <w:tc>
          <w:tcPr>
            <w:tcW w:type="dxa" w:w="1361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CRÍTICO</w:t>
            </w:r>
          </w:p>
        </w:tc>
        <w:tc>
          <w:tcPr>
            <w:tcW w:type="dxa" w:w="2721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Arquitetura de marca (LA × GS × produtos)</w:t>
            </w:r>
          </w:p>
        </w:tc>
        <w:tc>
          <w:tcPr>
            <w:tcW w:type="dxa" w:w="5102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Conselho aprova modelo endossado + regra do selo GS antes de ativar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3</w:t>
            </w:r>
          </w:p>
        </w:tc>
        <w:tc>
          <w:tcPr>
            <w:tcW w:type="dxa" w:w="1361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CONTROLE</w:t>
            </w:r>
          </w:p>
        </w:tc>
        <w:tc>
          <w:tcPr>
            <w:tcW w:type="dxa" w:w="2721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É brand building, não rebrand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Congelar identidade visual; investir em estratégia/presença/consistência</w:t>
            </w:r>
          </w:p>
        </w:tc>
      </w:tr>
      <w:tr>
        <w:tc>
          <w:tcPr>
            <w:tcW w:type="dxa" w:w="454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4</w:t>
            </w:r>
          </w:p>
        </w:tc>
        <w:tc>
          <w:tcPr>
            <w:tcW w:type="dxa" w:w="1361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ATENÇÃO</w:t>
            </w:r>
          </w:p>
        </w:tc>
        <w:tc>
          <w:tcPr>
            <w:tcW w:type="dxa" w:w="2721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Registro INPI</w:t>
            </w:r>
          </w:p>
        </w:tc>
        <w:tc>
          <w:tcPr>
            <w:tcW w:type="dxa" w:w="5102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Proteger marca-mãe e nomes de produto antes de ganhar visibilidade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5</w:t>
            </w:r>
          </w:p>
        </w:tc>
        <w:tc>
          <w:tcPr>
            <w:tcW w:type="dxa" w:w="1361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ATENÇÃO</w:t>
            </w:r>
          </w:p>
        </w:tc>
        <w:tc>
          <w:tcPr>
            <w:tcW w:type="dxa" w:w="2721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Marca pessoal de executivos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Acordo de marca pessoal + kit descentralizado; cláusula de saída</w:t>
            </w:r>
          </w:p>
        </w:tc>
      </w:tr>
      <w:tr>
        <w:tc>
          <w:tcPr>
            <w:tcW w:type="dxa" w:w="454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6</w:t>
            </w:r>
          </w:p>
        </w:tc>
        <w:tc>
          <w:tcPr>
            <w:tcW w:type="dxa" w:w="1361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ESTRATÉGICO</w:t>
            </w:r>
          </w:p>
        </w:tc>
        <w:tc>
          <w:tcPr>
            <w:tcW w:type="dxa" w:w="2721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Dono do tema Reforma Tributária</w:t>
            </w:r>
          </w:p>
        </w:tc>
        <w:tc>
          <w:tcPr>
            <w:tcW w:type="dxa" w:w="5102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Programa de conteúdo consistente 2026–2027; maior ROI de marca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7</w:t>
            </w:r>
          </w:p>
        </w:tc>
        <w:tc>
          <w:tcPr>
            <w:tcW w:type="dxa" w:w="1361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ESTRATÉGICO</w:t>
            </w:r>
          </w:p>
        </w:tc>
        <w:tc>
          <w:tcPr>
            <w:tcW w:type="dxa" w:w="2721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Autoridade institucional (setor público)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Sub-narrativa própria para órgãos públicos (linha IRRF)</w:t>
            </w:r>
          </w:p>
        </w:tc>
      </w:tr>
      <w:tr>
        <w:tc>
          <w:tcPr>
            <w:tcW w:type="dxa" w:w="454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8</w:t>
            </w:r>
          </w:p>
        </w:tc>
        <w:tc>
          <w:tcPr>
            <w:tcW w:type="dxa" w:w="1361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CONTROLE</w:t>
            </w:r>
          </w:p>
        </w:tc>
        <w:tc>
          <w:tcPr>
            <w:tcW w:type="dxa" w:w="2721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Consistência precisa de guardião</w:t>
            </w:r>
          </w:p>
        </w:tc>
        <w:tc>
          <w:tcPr>
            <w:tcW w:type="dxa" w:w="5102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Design system + brand book vivo + fluxo de aprovação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rFonts w:ascii="Inter" w:hAnsi="Inter"/>
          <w:b/>
          <w:i w:val="0"/>
          <w:color w:val="010860"/>
          <w:sz w:val="20"/>
        </w:rPr>
        <w:t xml:space="preserve">Síntese: </w:t>
      </w:r>
      <w:r>
        <w:rPr>
          <w:rFonts w:ascii="Inter" w:hAnsi="Inter"/>
          <w:b w:val="0"/>
          <w:i w:val="0"/>
          <w:color w:val="141414"/>
          <w:sz w:val="20"/>
        </w:rPr>
        <w:t xml:space="preserve">a marca da Lucro Ativo tem uma base visual rara para o porte — o trabalho não é começar do zero, é construir percepção e autoridade sobre essa base, com um dono claro. Os dois riscos que decidem o sucesso são os mesmos de sempre nesta empresa: </w:t>
      </w:r>
      <w:r>
        <w:rPr>
          <w:rFonts w:ascii="Inter" w:hAnsi="Inter"/>
          <w:b/>
          <w:i w:val="0"/>
          <w:color w:val="141414"/>
          <w:sz w:val="20"/>
        </w:rPr>
        <w:t>papel sem dono e decisão estrutural adiada</w:t>
      </w:r>
      <w:r>
        <w:rPr>
          <w:rFonts w:ascii="Inter" w:hAnsi="Inter"/>
          <w:b w:val="0"/>
          <w:i w:val="0"/>
          <w:color w:val="141414"/>
          <w:sz w:val="20"/>
        </w:rPr>
        <w:t>. Resolvidos a Fase 0 (dono) e a arquitetura (Conselho), o resto é execução.</w:t>
      </w:r>
    </w:p>
    <w:p>
      <w:pPr>
        <w:pStyle w:val="Heading1"/>
      </w:pPr>
      <w:r>
        <w:t>Anexo B — Checklist de consistência de marca</w:t>
      </w:r>
    </w:p>
    <w:p>
      <w:pPr>
        <w:pStyle w:val="ListBullet"/>
        <w:spacing w:after="60" w:before="0"/>
      </w:pPr>
      <w:r>
        <w:rPr>
          <w:rFonts w:ascii="Inter" w:hAnsi="Inter"/>
          <w:b w:val="0"/>
          <w:i w:val="0"/>
          <w:color w:val="141414"/>
          <w:sz w:val="21"/>
        </w:rPr>
        <w:t>Logo correto (SVG navy sobre claro / branco sobre navy), com área de proteção respeitada.</w:t>
      </w:r>
    </w:p>
    <w:p>
      <w:pPr>
        <w:pStyle w:val="ListBullet"/>
        <w:spacing w:after="60" w:before="0"/>
      </w:pPr>
      <w:r>
        <w:rPr>
          <w:rFonts w:ascii="Inter" w:hAnsi="Inter"/>
          <w:b w:val="0"/>
          <w:i w:val="0"/>
          <w:color w:val="141414"/>
          <w:sz w:val="21"/>
        </w:rPr>
        <w:t>Cor navy #010860 exata; dourado apenas como acento; fundo dominado por branco.</w:t>
      </w:r>
    </w:p>
    <w:p>
      <w:pPr>
        <w:pStyle w:val="ListBullet"/>
        <w:spacing w:after="60" w:before="0"/>
      </w:pPr>
      <w:r>
        <w:rPr>
          <w:rFonts w:ascii="Inter" w:hAnsi="Inter"/>
          <w:b w:val="0"/>
          <w:i w:val="0"/>
          <w:color w:val="141414"/>
          <w:sz w:val="21"/>
        </w:rPr>
        <w:t>Tipografia Montserrat (títulos) + Inter (corpo); hierarquia e alinhamento à esquerda.</w:t>
      </w:r>
    </w:p>
    <w:p>
      <w:pPr>
        <w:pStyle w:val="ListBullet"/>
        <w:spacing w:after="60" w:before="0"/>
      </w:pPr>
      <w:r>
        <w:rPr>
          <w:rFonts w:ascii="Inter" w:hAnsi="Inter"/>
          <w:b w:val="0"/>
          <w:i w:val="0"/>
          <w:color w:val="141414"/>
          <w:sz w:val="21"/>
        </w:rPr>
        <w:t>Sem foto de banco de imagem — usar o sistema visual de dados (waterfall, numerais, grids).</w:t>
      </w:r>
    </w:p>
    <w:p>
      <w:pPr>
        <w:pStyle w:val="ListBullet"/>
        <w:spacing w:after="60" w:before="0"/>
      </w:pPr>
      <w:r>
        <w:rPr>
          <w:rFonts w:ascii="Inter" w:hAnsi="Inter"/>
          <w:b w:val="0"/>
          <w:i w:val="0"/>
          <w:color w:val="141414"/>
          <w:sz w:val="21"/>
        </w:rPr>
        <w:t>Selo Grupo Studio apenas na hierarquia definida (co-marca controlada), nunca dominando.</w:t>
      </w:r>
    </w:p>
    <w:p>
      <w:pPr>
        <w:pStyle w:val="ListBullet"/>
        <w:spacing w:after="60" w:before="0"/>
      </w:pPr>
      <w:r>
        <w:rPr>
          <w:rFonts w:ascii="Inter" w:hAnsi="Inter"/>
          <w:b w:val="0"/>
          <w:i w:val="0"/>
          <w:color w:val="141414"/>
          <w:sz w:val="21"/>
        </w:rPr>
        <w:t>Tom de voz: sóbrio, técnico, sem promessa vazia; todo número comercial validado.</w:t>
      </w:r>
    </w:p>
    <w:p>
      <w:pPr>
        <w:pStyle w:val="ListBullet"/>
        <w:spacing w:after="60" w:before="0"/>
      </w:pPr>
      <w:r>
        <w:rPr>
          <w:rFonts w:ascii="Inter" w:hAnsi="Inter"/>
          <w:b w:val="0"/>
          <w:i w:val="0"/>
          <w:color w:val="141414"/>
          <w:sz w:val="21"/>
        </w:rPr>
        <w:t>Rodapé/assinatura padronizados (@meulucroativo); templates oficiais.</w:t>
      </w:r>
    </w:p>
    <w:p>
      <w:pPr>
        <w:pStyle w:val="ListBullet"/>
        <w:spacing w:after="60" w:before="0"/>
      </w:pPr>
      <w:r>
        <w:rPr>
          <w:rFonts w:ascii="Inter" w:hAnsi="Inter"/>
          <w:b w:val="0"/>
          <w:i w:val="0"/>
          <w:color w:val="141414"/>
          <w:sz w:val="21"/>
        </w:rPr>
        <w:t>Peça aprovada pelo guardião da marca antes de publicar.</w:t>
      </w:r>
    </w:p>
    <w:p>
      <w:pPr>
        <w:pStyle w:val="Heading1"/>
      </w:pPr>
      <w:r>
        <w:t>Anexo C — Glossário de branding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21"/>
        </w:rPr>
        <w:t xml:space="preserve">Branding: </w:t>
      </w:r>
      <w:r>
        <w:rPr>
          <w:rFonts w:ascii="Inter" w:hAnsi="Inter"/>
          <w:b w:val="0"/>
          <w:i w:val="0"/>
          <w:color w:val="141414"/>
          <w:sz w:val="21"/>
        </w:rPr>
        <w:t>Processo de construir e gerir a percepção (marca), muito além da identidade visual.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21"/>
        </w:rPr>
        <w:t xml:space="preserve">Brand equity: </w:t>
      </w:r>
      <w:r>
        <w:rPr>
          <w:rFonts w:ascii="Inter" w:hAnsi="Inter"/>
          <w:b w:val="0"/>
          <w:i w:val="0"/>
          <w:color w:val="141414"/>
          <w:sz w:val="21"/>
        </w:rPr>
        <w:t>Valor econômico que a marca agrega — preço, preferência, lembrança.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21"/>
        </w:rPr>
        <w:t xml:space="preserve">Masterbrand / marca endossada: </w:t>
      </w:r>
      <w:r>
        <w:rPr>
          <w:rFonts w:ascii="Inter" w:hAnsi="Inter"/>
          <w:b w:val="0"/>
          <w:i w:val="0"/>
          <w:color w:val="141414"/>
          <w:sz w:val="21"/>
        </w:rPr>
        <w:t>Marca-mãe que assina e dá credibilidade aos produtos.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21"/>
        </w:rPr>
        <w:t xml:space="preserve">Plataforma de marca: </w:t>
      </w:r>
      <w:r>
        <w:rPr>
          <w:rFonts w:ascii="Inter" w:hAnsi="Inter"/>
          <w:b w:val="0"/>
          <w:i w:val="0"/>
          <w:color w:val="141414"/>
          <w:sz w:val="21"/>
        </w:rPr>
        <w:t>Documento-raiz: propósito, posicionamento, proposta de valor, pilares, voz.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21"/>
        </w:rPr>
        <w:t xml:space="preserve">Posicionamento: </w:t>
      </w:r>
      <w:r>
        <w:rPr>
          <w:rFonts w:ascii="Inter" w:hAnsi="Inter"/>
          <w:b w:val="0"/>
          <w:i w:val="0"/>
          <w:color w:val="141414"/>
          <w:sz w:val="21"/>
        </w:rPr>
        <w:t>O lugar que a marca ocupa na mente do público frente aos concorrentes.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21"/>
        </w:rPr>
        <w:t xml:space="preserve">Tom de voz: </w:t>
      </w:r>
      <w:r>
        <w:rPr>
          <w:rFonts w:ascii="Inter" w:hAnsi="Inter"/>
          <w:b w:val="0"/>
          <w:i w:val="0"/>
          <w:color w:val="141414"/>
          <w:sz w:val="21"/>
        </w:rPr>
        <w:t>Personalidade da marca aplicada à linguagem escrita e falada.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21"/>
        </w:rPr>
        <w:t xml:space="preserve">Design system: </w:t>
      </w:r>
      <w:r>
        <w:rPr>
          <w:rFonts w:ascii="Inter" w:hAnsi="Inter"/>
          <w:b w:val="0"/>
          <w:i w:val="0"/>
          <w:color w:val="141414"/>
          <w:sz w:val="21"/>
        </w:rPr>
        <w:t>Biblioteca viva de regras e componentes visuais (evolução do manual).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21"/>
        </w:rPr>
        <w:t xml:space="preserve">Share of voice: </w:t>
      </w:r>
      <w:r>
        <w:rPr>
          <w:rFonts w:ascii="Inter" w:hAnsi="Inter"/>
          <w:b w:val="0"/>
          <w:i w:val="0"/>
          <w:color w:val="141414"/>
          <w:sz w:val="21"/>
        </w:rPr>
        <w:t>Participação da marca na conversa de um tema vs. concorrentes.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21"/>
        </w:rPr>
        <w:t xml:space="preserve">Employer branding: </w:t>
      </w:r>
      <w:r>
        <w:rPr>
          <w:rFonts w:ascii="Inter" w:hAnsi="Inter"/>
          <w:b w:val="0"/>
          <w:i w:val="0"/>
          <w:color w:val="141414"/>
          <w:sz w:val="21"/>
        </w:rPr>
        <w:t>Marca como empregadora — atrair e reter talento.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21"/>
        </w:rPr>
        <w:t xml:space="preserve">Thought leadership: </w:t>
      </w:r>
      <w:r>
        <w:rPr>
          <w:rFonts w:ascii="Inter" w:hAnsi="Inter"/>
          <w:b w:val="0"/>
          <w:i w:val="0"/>
          <w:color w:val="141414"/>
          <w:sz w:val="21"/>
        </w:rPr>
        <w:t>Autoridade construída por conteúdo que educa o mercado.</w:t>
      </w:r>
    </w:p>
    <w:p>
      <w:pPr>
        <w:pStyle w:val="Heading1"/>
      </w:pPr>
      <w:r>
        <w:t>Anexo D — Fontes, referências e documentos-base</w:t>
      </w:r>
    </w:p>
    <w:p>
      <w:pPr>
        <w:pStyle w:val="ListBullet"/>
        <w:spacing w:after="60" w:before="0"/>
      </w:pPr>
      <w:r>
        <w:rPr>
          <w:rFonts w:ascii="Inter" w:hAnsi="Inter"/>
          <w:b w:val="0"/>
          <w:i w:val="0"/>
          <w:color w:val="141414"/>
          <w:sz w:val="21"/>
        </w:rPr>
        <w:t>Manual da Marca Lucro Ativo (Drive) — cor, tipografia, uso de logo, tom.</w:t>
      </w:r>
    </w:p>
    <w:p>
      <w:pPr>
        <w:pStyle w:val="ListBullet"/>
        <w:spacing w:after="60" w:before="0"/>
      </w:pPr>
      <w:r>
        <w:rPr>
          <w:rFonts w:ascii="Inter" w:hAnsi="Inter"/>
          <w:b w:val="0"/>
          <w:i w:val="0"/>
          <w:color w:val="141414"/>
          <w:sz w:val="21"/>
        </w:rPr>
        <w:t>Documento Mestre de Governança v2 — missão, visão 2031, valores, estrutura, Conselho.</w:t>
      </w:r>
    </w:p>
    <w:p>
      <w:pPr>
        <w:pStyle w:val="ListBullet"/>
        <w:spacing w:after="60" w:before="0"/>
      </w:pPr>
      <w:r>
        <w:rPr>
          <w:rFonts w:ascii="Inter" w:hAnsi="Inter"/>
          <w:b w:val="0"/>
          <w:i w:val="0"/>
          <w:color w:val="141414"/>
          <w:sz w:val="21"/>
        </w:rPr>
        <w:t>Padrão de Documento de Área &amp; Playbook v1 — governança e consistência documental.</w:t>
      </w:r>
    </w:p>
    <w:p>
      <w:pPr>
        <w:pStyle w:val="ListBullet"/>
        <w:spacing w:after="60" w:before="0"/>
      </w:pPr>
      <w:r>
        <w:rPr>
          <w:rFonts w:ascii="Inter" w:hAnsi="Inter"/>
          <w:b w:val="0"/>
          <w:i w:val="0"/>
          <w:color w:val="141414"/>
          <w:sz w:val="21"/>
        </w:rPr>
        <w:t>Kit de Marca Pessoal (executivos) — base da seção 10.</w:t>
      </w:r>
    </w:p>
    <w:p>
      <w:pPr>
        <w:pStyle w:val="ListBullet"/>
        <w:spacing w:after="60" w:before="0"/>
      </w:pPr>
      <w:r>
        <w:rPr>
          <w:rFonts w:ascii="Inter" w:hAnsi="Inter"/>
          <w:b w:val="0"/>
          <w:i w:val="0"/>
          <w:color w:val="141414"/>
          <w:sz w:val="21"/>
        </w:rPr>
        <w:t>Especificação do Simulador Comercial v1.3 — ponto de marca na experiência de venda.</w:t>
      </w:r>
    </w:p>
    <w:p>
      <w:pPr>
        <w:pStyle w:val="ListBullet"/>
        <w:spacing w:after="60" w:before="0"/>
      </w:pPr>
      <w:r>
        <w:rPr>
          <w:rFonts w:ascii="Inter" w:hAnsi="Inter"/>
          <w:b w:val="0"/>
          <w:i w:val="0"/>
          <w:color w:val="141414"/>
          <w:sz w:val="21"/>
        </w:rPr>
        <w:t>Materiais de referência produzidos: decks ICMS-SP, PGFN, IRRF/Municípios, DCF; dossiê DCF.</w:t>
      </w:r>
    </w:p>
    <w:p>
      <w:pPr>
        <w:pStyle w:val="ListBullet"/>
        <w:spacing w:after="60" w:before="0"/>
      </w:pPr>
      <w:r>
        <w:rPr>
          <w:rFonts w:ascii="Inter" w:hAnsi="Inter"/>
          <w:b w:val="0"/>
          <w:i w:val="0"/>
          <w:color w:val="141414"/>
          <w:sz w:val="21"/>
        </w:rPr>
        <w:t>EC 132/2023 (Reforma Tributária) — plataforma temática de autoridade.</w:t>
      </w:r>
    </w:p>
    <w:p>
      <w:pPr>
        <w:spacing w:after="120" w:before="0"/>
      </w:pPr>
      <w:r>
        <w:rPr>
          <w:rFonts w:ascii="Inter" w:hAnsi="Inter"/>
          <w:b/>
          <w:i w:val="0"/>
          <w:color w:val="010860"/>
          <w:sz w:val="20"/>
        </w:rPr>
        <w:t xml:space="preserve">Encerramento: </w:t>
      </w:r>
      <w:r>
        <w:rPr>
          <w:rFonts w:ascii="Inter" w:hAnsi="Inter"/>
          <w:b w:val="0"/>
          <w:i w:val="0"/>
          <w:color w:val="141414"/>
          <w:sz w:val="20"/>
        </w:rPr>
        <w:t>este é um plano de projeto (v1), não a marca pronta. Ele existe para o Conselho aprovar as três decisões que destravam tudo (dono, arquitetura, registro), liberar a Fase 0 e, a partir daí, construir — com método e faseamento — a marca que a operação já merece.</w:t>
      </w:r>
    </w:p>
    <w:sectPr w:rsidR="00FC693F" w:rsidRPr="0006063C" w:rsidSect="00034616">
      <w:headerReference w:type="default" r:id="rId10"/>
      <w:footerReference w:type="default" r:id="rId11"/>
      <w:pgSz w:w="11906" w:h="16838"/>
      <w:pgMar w:top="1134" w:right="1134" w:bottom="1020" w:left="1134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decimal"/>
      </w:tabs>
      <w:pBdr>
        <w:top w:val="single" w:sz="6" w:space="6" w:color="D8DBEC"/>
      </w:pBdr>
    </w:pPr>
    <w:r/>
    <w:r>
      <w:rPr>
        <w:rFonts w:ascii="Inter" w:hAnsi="Inter"/>
        <w:color w:val="5A5A5A"/>
        <w:sz w:val="15"/>
      </w:rPr>
      <w:t>Lucro Ativo · Planejamento de Branding — v1</w:t>
    </w:r>
    <w:r>
      <w:tab/>
    </w:r>
    <w:r>
      <w:rPr>
        <w:rFonts w:ascii="Inter" w:hAnsi="Inter"/>
        <w:color w:val="5A5A5A"/>
        <w:sz w:val="15"/>
      </w:rPr>
      <w:t xml:space="preserve">Confidencial · pág.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6" w:color="C6A15B"/>
      </w:pBdr>
    </w:pPr>
    <w:r/>
    <w:r>
      <w:drawing>
        <wp:inline xmlns:a="http://schemas.openxmlformats.org/drawingml/2006/main" xmlns:pic="http://schemas.openxmlformats.org/drawingml/2006/picture">
          <wp:extent cx="1224000" cy="275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navy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24000" cy="2754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7" w:lineRule="auto"/>
    </w:pPr>
    <w:rPr>
      <w:rFonts w:ascii="Inter" w:hAnsi="Inter" w:cs="Inter"/>
      <w:b w:val="0"/>
      <w:color w:val="14141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ontserrat" w:hAnsi="Montserrat" w:cs="Montserrat"/>
      <w:b/>
      <w:bCs/>
      <w:color w:val="01086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Montserrat" w:hAnsi="Montserrat" w:cs="Montserrat"/>
      <w:b/>
      <w:bCs/>
      <w:color w:val="01086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Montserrat" w:hAnsi="Montserrat" w:cs="Montserrat"/>
      <w:b/>
      <w:bCs/>
      <w:color w:val="01086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60"/>
      <w:outlineLvl w:val="3"/>
    </w:pPr>
    <w:rPr>
      <w:rFonts w:asciiTheme="majorHAnsi" w:eastAsiaTheme="majorEastAsia" w:hAnsiTheme="majorHAnsi" w:cstheme="majorBidi" w:ascii="Montserrat" w:hAnsi="Montserrat" w:cs="Montserrat"/>
      <w:b/>
      <w:bCs/>
      <w:i/>
      <w:iCs/>
      <w:color w:val="20287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