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906"/>
      </w:tblGrid>
      <w:tr>
        <w:trPr>
          <w:trHeight w:val="16754" w:hRule="exact"/>
        </w:trPr>
        <w:tc>
          <w:tcPr>
            <w:tcW w:type="dxa" w:w="11906"/>
            <w:shd w:val="clear" w:fill="010860"/>
          </w:tcPr>
          <w:p>
            <w:r/>
          </w:p>
          <w:p>
            <w:pPr>
              <w:spacing w:after="360"/>
            </w:pPr>
          </w:p>
          <w:p>
            <w:pPr>
              <w:spacing w:after="360"/>
            </w:pPr>
          </w:p>
          <w:p>
            <w:pPr>
              <w:spacing w:after="360"/>
            </w:pPr>
          </w:p>
          <w:p>
            <w:pPr>
              <w:spacing w:after="360"/>
            </w:pPr>
          </w:p>
          <w:p>
            <w:pPr>
              <w:spacing w:after="360"/>
            </w:pPr>
          </w:p>
          <w:p>
            <w:pPr>
              <w:ind w:left="1361"/>
            </w:pPr>
            <w:r>
              <w:drawing>
                <wp:inline xmlns:a="http://schemas.openxmlformats.org/drawingml/2006/main" xmlns:pic="http://schemas.openxmlformats.org/drawingml/2006/picture">
                  <wp:extent cx="2448000" cy="54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branc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54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80"/>
              <w:ind w:left="1361"/>
            </w:pPr>
            <w:r>
              <w:rPr>
                <w:rFonts w:ascii="Montserrat" w:hAnsi="Montserrat"/>
                <w:b/>
                <w:color w:val="C9A227"/>
                <w:sz w:val="22"/>
              </w:rPr>
              <w:t>NOTA TÉCNICA  ·  NT-001/2026</w:t>
            </w:r>
          </w:p>
          <w:p>
            <w:pPr>
              <w:spacing w:before="200" w:after="0"/>
              <w:ind w:left="1361"/>
            </w:pPr>
            <w:r>
              <w:rPr>
                <w:rFonts w:ascii="Montserrat" w:hAnsi="Montserrat"/>
                <w:b/>
                <w:color w:val="FFFFFF"/>
                <w:sz w:val="50"/>
              </w:rPr>
              <w:t>Marco temporal e natureza do ativo</w:t>
            </w:r>
          </w:p>
          <w:p>
            <w:pPr>
              <w:spacing w:before="40"/>
              <w:ind w:left="1361"/>
            </w:pPr>
            <w:r>
              <w:rPr>
                <w:rFonts w:ascii="Montserrat" w:hAnsi="Montserrat"/>
                <w:b/>
                <w:color w:val="FFFFFF"/>
                <w:sz w:val="50"/>
              </w:rPr>
              <w:t>na compensação de tributos federais</w:t>
            </w:r>
          </w:p>
          <w:p>
            <w:pPr>
              <w:spacing w:before="360"/>
              <w:ind w:left="1361"/>
            </w:pPr>
            <w:r>
              <w:rPr>
                <w:rFonts w:ascii="Inter" w:hAnsi="Inter"/>
                <w:color w:val="C7CCE8"/>
                <w:sz w:val="23"/>
              </w:rPr>
              <w:t>Por que a operação de Direito Creditório Federal não se confunde</w:t>
              <w:br/>
              <w:t>com a compensação de crédito de terceiro vedada pelo art. 74, §12,</w:t>
              <w:br/>
              <w:t>da Lei nº 9.430/1996</w:t>
            </w:r>
          </w:p>
          <w:p>
            <w:pPr>
              <w:spacing w:before="520" w:after="0"/>
              <w:ind w:left="1361"/>
            </w:pPr>
            <w:r>
              <w:rPr>
                <w:b/>
                <w:color w:val="C9A227"/>
                <w:sz w:val="22"/>
              </w:rPr>
              <w:t>________</w:t>
            </w:r>
          </w:p>
          <w:p>
            <w:pPr>
              <w:spacing w:after="320"/>
            </w:pPr>
          </w:p>
          <w:p>
            <w:pPr>
              <w:spacing w:after="320"/>
            </w:pPr>
          </w:p>
          <w:p>
            <w:pPr>
              <w:spacing w:after="320"/>
            </w:pPr>
          </w:p>
          <w:p>
            <w:pPr>
              <w:spacing w:after="320"/>
            </w:pPr>
          </w:p>
          <w:p>
            <w:pPr>
              <w:spacing w:after="320"/>
            </w:pPr>
          </w:p>
          <w:p>
            <w:pPr>
              <w:spacing w:after="320"/>
            </w:pPr>
          </w:p>
          <w:p>
            <w:pPr>
              <w:spacing w:after="40"/>
              <w:ind w:left="1361"/>
            </w:pPr>
            <w:r>
              <w:rPr>
                <w:rFonts w:ascii="Montserrat" w:hAnsi="Montserrat"/>
                <w:b/>
                <w:color w:val="C9A227"/>
                <w:sz w:val="16"/>
              </w:rPr>
              <w:t>EMISSÃO</w:t>
            </w:r>
          </w:p>
          <w:p>
            <w:pPr>
              <w:spacing w:after="240"/>
              <w:ind w:left="1361"/>
            </w:pPr>
            <w:r>
              <w:rPr>
                <w:rFonts w:ascii="Inter" w:hAnsi="Inter"/>
                <w:color w:val="FFFFFF"/>
                <w:sz w:val="21"/>
              </w:rPr>
              <w:t>Diretoria Jurídica  ·  Lucro Ativo  ·  Setembro de 2026</w:t>
            </w:r>
          </w:p>
          <w:p>
            <w:pPr>
              <w:spacing w:after="40"/>
              <w:ind w:left="1361"/>
            </w:pPr>
            <w:r>
              <w:rPr>
                <w:rFonts w:ascii="Montserrat" w:hAnsi="Montserrat"/>
                <w:b/>
                <w:color w:val="C9A227"/>
                <w:sz w:val="16"/>
              </w:rPr>
              <w:t>DESTINAÇÃO</w:t>
            </w:r>
          </w:p>
          <w:p>
            <w:pPr>
              <w:spacing w:after="0"/>
              <w:ind w:left="1361"/>
            </w:pPr>
            <w:r>
              <w:rPr>
                <w:rFonts w:ascii="Inter" w:hAnsi="Inter"/>
                <w:color w:val="FFFFFF"/>
                <w:sz w:val="21"/>
              </w:rPr>
              <w:t>Capacitação interna e entrega ao assessor jurídico/contábil do cliente</w:t>
            </w:r>
          </w:p>
          <w:p>
            <w:pPr>
              <w:spacing w:after="280"/>
            </w:pPr>
          </w:p>
          <w:p>
            <w:pPr>
              <w:spacing w:after="280"/>
            </w:pPr>
          </w:p>
          <w:p>
            <w:pPr>
              <w:spacing w:after="280"/>
            </w:pPr>
          </w:p>
          <w:p>
            <w:pPr>
              <w:spacing w:after="0"/>
              <w:ind w:left="1361"/>
            </w:pPr>
            <w:r>
              <w:rPr>
                <w:rFonts w:ascii="Inter" w:hAnsi="Inter"/>
                <w:color w:val="9AA3D0"/>
                <w:sz w:val="18"/>
              </w:rPr>
              <w:t>www.meulucroativo.com.br</w:t>
            </w:r>
          </w:p>
        </w:tc>
      </w:tr>
    </w:tbl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pStyle w:val="Heading1"/>
        <w:pBdr>
          <w:bottom w:val="single" w:sz="8" w:space="4" w:color="C9A227"/>
        </w:pBdr>
      </w:pPr>
      <w:r>
        <w:rPr>
          <w:rFonts w:ascii="Montserrat" w:hAnsi="Montserrat"/>
          <w:b/>
          <w:color w:val="010860"/>
          <w:sz w:val="28"/>
        </w:rPr>
        <w:t>SÍNTESE CONCLUSIVA</w:t>
      </w:r>
    </w:p>
    <w:p>
      <w:pPr>
        <w:spacing w:after="160"/>
        <w:jc w:val="both"/>
      </w:pPr>
      <w:r>
        <w:rPr>
          <w:rFonts w:ascii="Inter" w:hAnsi="Inter"/>
          <w:sz w:val="20"/>
        </w:rPr>
        <w:t xml:space="preserve">Circula no mercado a afirmação de que "a legislação tributária brasileira não reconhece compensação de impostos com crédito de terceiros" e de que toda consultoria de direito creditório opera em fraude. A premissa está </w:t>
      </w:r>
      <w:r>
        <w:rPr>
          <w:rFonts w:ascii="Inter" w:hAnsi="Inter"/>
          <w:b/>
          <w:color w:val="010860"/>
          <w:sz w:val="20"/>
        </w:rPr>
        <w:t>parcialmente correta</w:t>
      </w:r>
      <w:r>
        <w:rPr>
          <w:rFonts w:ascii="Inter" w:hAnsi="Inter"/>
          <w:sz w:val="20"/>
        </w:rPr>
        <w:t xml:space="preserve"> — e é justamente por isso que ela precisa ser respondida com técnica, não com negativa.</w:t>
      </w:r>
    </w:p>
    <w:p>
      <w:pPr>
        <w:pStyle w:val="ListBullet"/>
        <w:jc w:val="both"/>
      </w:pPr>
      <w:r>
        <w:rPr>
          <w:rFonts w:ascii="Inter" w:hAnsi="Inter"/>
          <w:b/>
          <w:color w:val="010860"/>
          <w:sz w:val="20"/>
        </w:rPr>
        <w:t>É verdade</w:t>
      </w:r>
      <w:r>
        <w:rPr>
          <w:rFonts w:ascii="Inter" w:hAnsi="Inter"/>
          <w:sz w:val="20"/>
        </w:rPr>
        <w:t xml:space="preserve"> que a compensação de crédito de terceiro é </w:t>
      </w:r>
      <w:r>
        <w:rPr>
          <w:rFonts w:ascii="Inter" w:hAnsi="Inter"/>
          <w:b/>
          <w:color w:val="010860"/>
          <w:sz w:val="20"/>
        </w:rPr>
        <w:t>vedada no rito do art. 74 da Lei nº 9.430/1996</w:t>
      </w:r>
      <w:r>
        <w:rPr>
          <w:rFonts w:ascii="Inter" w:hAnsi="Inter"/>
          <w:sz w:val="20"/>
        </w:rPr>
        <w:t xml:space="preserve"> (§12, II, "a") e que as autuações em curso, com multa isolada e representação penal, atingem quem operou por essa porta.</w:t>
      </w:r>
    </w:p>
    <w:p>
      <w:pPr>
        <w:pStyle w:val="ListBullet"/>
        <w:jc w:val="both"/>
      </w:pPr>
      <w:r>
        <w:rPr>
          <w:rFonts w:ascii="Inter" w:hAnsi="Inter"/>
          <w:b/>
          <w:color w:val="010860"/>
          <w:sz w:val="20"/>
        </w:rPr>
        <w:t>É falso</w:t>
      </w:r>
      <w:r>
        <w:rPr>
          <w:rFonts w:ascii="Inter" w:hAnsi="Inter"/>
          <w:sz w:val="20"/>
        </w:rPr>
        <w:t xml:space="preserve">, porém, afirmar isso como regra do sistema: a </w:t>
      </w:r>
      <w:r>
        <w:rPr>
          <w:rFonts w:ascii="Inter" w:hAnsi="Inter"/>
          <w:b/>
          <w:color w:val="010860"/>
          <w:sz w:val="20"/>
        </w:rPr>
        <w:t>Emenda Constitucional nº 113/2021</w:t>
      </w:r>
      <w:r>
        <w:rPr>
          <w:rFonts w:ascii="Inter" w:hAnsi="Inter"/>
          <w:sz w:val="20"/>
        </w:rPr>
        <w:t xml:space="preserve"> inseriu no art. 100, §11, da Constituição a faculdade expressa de oferta de créditos "</w:t>
      </w:r>
      <w:r>
        <w:rPr>
          <w:rFonts w:ascii="Inter" w:hAnsi="Inter"/>
          <w:b/>
          <w:color w:val="010860"/>
          <w:sz w:val="20"/>
        </w:rPr>
        <w:t>próprios ou adquiridos de terceiros</w:t>
      </w:r>
      <w:r>
        <w:rPr>
          <w:rFonts w:ascii="Inter" w:hAnsi="Inter"/>
          <w:sz w:val="20"/>
        </w:rPr>
        <w:t>", reconhecidos por decisão judicial transitada em julgado, para quitação de débitos perante o ente federativo.</w:t>
      </w:r>
    </w:p>
    <w:p>
      <w:pPr>
        <w:pStyle w:val="ListBullet"/>
        <w:jc w:val="both"/>
      </w:pPr>
      <w:r>
        <w:rPr>
          <w:rFonts w:ascii="Inter" w:hAnsi="Inter"/>
          <w:sz w:val="20"/>
        </w:rPr>
        <w:t xml:space="preserve">A distinção decisiva não é de aparência, mas de </w:t>
      </w:r>
      <w:r>
        <w:rPr>
          <w:rFonts w:ascii="Inter" w:hAnsi="Inter"/>
          <w:b/>
          <w:color w:val="010860"/>
          <w:sz w:val="20"/>
        </w:rPr>
        <w:t>natureza do ativo</w:t>
      </w:r>
      <w:r>
        <w:rPr>
          <w:rFonts w:ascii="Inter" w:hAnsi="Inter"/>
          <w:sz w:val="20"/>
        </w:rPr>
        <w:t xml:space="preserve"> e de </w:t>
      </w:r>
      <w:r>
        <w:rPr>
          <w:rFonts w:ascii="Inter" w:hAnsi="Inter"/>
          <w:b/>
          <w:color w:val="010860"/>
          <w:sz w:val="20"/>
        </w:rPr>
        <w:t>marco temporal da titularidade</w:t>
      </w:r>
      <w:r>
        <w:rPr>
          <w:rFonts w:ascii="Inter" w:hAnsi="Inter"/>
          <w:sz w:val="20"/>
        </w:rPr>
        <w:t xml:space="preserve">: a operação de Direito Creditório Federal (DCF) utiliza direito creditório de </w:t>
      </w:r>
      <w:r>
        <w:rPr>
          <w:rFonts w:ascii="Inter" w:hAnsi="Inter"/>
          <w:b/>
          <w:color w:val="010860"/>
          <w:sz w:val="20"/>
        </w:rPr>
        <w:t>natureza civil</w:t>
      </w:r>
      <w:r>
        <w:rPr>
          <w:rFonts w:ascii="Inter" w:hAnsi="Inter"/>
          <w:sz w:val="20"/>
        </w:rPr>
        <w:t xml:space="preserve">, com trânsito em julgado, </w:t>
      </w:r>
      <w:r>
        <w:rPr>
          <w:rFonts w:ascii="Inter" w:hAnsi="Inter"/>
          <w:b/>
          <w:color w:val="010860"/>
          <w:sz w:val="20"/>
        </w:rPr>
        <w:t>cedido e habilitado em nome do cliente antes</w:t>
      </w:r>
      <w:r>
        <w:rPr>
          <w:rFonts w:ascii="Inter" w:hAnsi="Inter"/>
          <w:sz w:val="20"/>
        </w:rPr>
        <w:t xml:space="preserve"> de qualquer compensação — quando a declaração é transmitida, o crédito </w:t>
      </w:r>
      <w:r>
        <w:rPr>
          <w:rFonts w:ascii="Inter" w:hAnsi="Inter"/>
          <w:b/>
          <w:color w:val="010860"/>
          <w:sz w:val="20"/>
        </w:rPr>
        <w:t>já é próprio</w:t>
      </w:r>
      <w:r>
        <w:rPr>
          <w:rFonts w:ascii="Inter" w:hAnsi="Inter"/>
          <w:sz w:val="20"/>
        </w:rPr>
        <w:t>.</w:t>
      </w:r>
    </w:p>
    <w:p>
      <w:pPr>
        <w:pStyle w:val="ListBullet"/>
        <w:jc w:val="both"/>
      </w:pPr>
      <w:r>
        <w:rPr>
          <w:rFonts w:ascii="Inter" w:hAnsi="Inter"/>
          <w:sz w:val="20"/>
        </w:rPr>
        <w:t xml:space="preserve">Consequência prática: a vedação invocada </w:t>
      </w:r>
      <w:r>
        <w:rPr>
          <w:rFonts w:ascii="Inter" w:hAnsi="Inter"/>
          <w:b/>
          <w:color w:val="010860"/>
          <w:sz w:val="20"/>
        </w:rPr>
        <w:t>não alcança</w:t>
      </w:r>
      <w:r>
        <w:rPr>
          <w:rFonts w:ascii="Inter" w:hAnsi="Inter"/>
          <w:sz w:val="20"/>
        </w:rPr>
        <w:t xml:space="preserve"> a operação, porque ela pressupõe (i) crédito de natureza tributária e (ii) crédito alheio no momento do uso. Nenhuma das duas premissas se verifica no DCF.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9298"/>
      </w:tblGrid>
      <w:tr>
        <w:tc>
          <w:tcPr>
            <w:tcW w:type="dxa" w:w="9298"/>
            <w:shd w:val="clear" w:fill="FBF7EA"/>
            <w:tcBorders>
              <w:left w:val="single" w:sz="18" w:color="C9A227"/>
            </w:tcBorders>
          </w:tcPr>
          <w:p>
            <w:pPr>
              <w:spacing w:after="60"/>
            </w:pPr>
            <w:r>
              <w:rPr>
                <w:rFonts w:ascii="Montserrat" w:hAnsi="Montserrat"/>
                <w:b/>
                <w:color w:val="8A6D0D"/>
                <w:sz w:val="18"/>
              </w:rPr>
              <w:t>▸ ADVERTÊNCIA DE USO</w:t>
            </w:r>
          </w:p>
          <w:p>
            <w:pPr>
              <w:spacing w:after="0"/>
              <w:jc w:val="both"/>
            </w:pPr>
            <w:r>
              <w:rPr>
                <w:rFonts w:ascii="Inter" w:hAnsi="Inter"/>
                <w:sz w:val="19"/>
              </w:rPr>
              <w:t xml:space="preserve">Esta nota </w:t>
            </w:r>
            <w:r>
              <w:rPr>
                <w:rFonts w:ascii="Inter" w:hAnsi="Inter"/>
                <w:b/>
                <w:color w:val="010860"/>
                <w:sz w:val="19"/>
              </w:rPr>
              <w:t>não afirma inexistência de risco</w:t>
            </w:r>
            <w:r>
              <w:rPr>
                <w:rFonts w:ascii="Inter" w:hAnsi="Inter"/>
                <w:sz w:val="19"/>
              </w:rPr>
              <w:t>. Ela delimita o fundamento da operação e aponta, no item 8, três questões que dependem de parecer conclusivo da Diretoria Jurídica antes de incorporação definitiva ao discurso comercial. Nenhum executivo deve declarar a cliente "operação sem risco" ou "com total segurança jurídica".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8" w:space="4" w:color="C9A227"/>
        </w:pBdr>
      </w:pPr>
      <w:r>
        <w:rPr>
          <w:rFonts w:ascii="Montserrat" w:hAnsi="Montserrat"/>
          <w:b/>
          <w:color w:val="8A6D0D"/>
          <w:sz w:val="28"/>
        </w:rPr>
        <w:t xml:space="preserve">1.  </w:t>
      </w:r>
      <w:r>
        <w:rPr>
          <w:rFonts w:ascii="Montserrat" w:hAnsi="Montserrat"/>
          <w:b/>
          <w:color w:val="010860"/>
          <w:sz w:val="28"/>
        </w:rPr>
        <w:t>OBJETO E DELIMITAÇÃO</w:t>
      </w:r>
    </w:p>
    <w:p>
      <w:pPr>
        <w:spacing w:after="120"/>
        <w:jc w:val="both"/>
      </w:pPr>
      <w:r>
        <w:rPr>
          <w:rFonts w:ascii="Inter" w:hAnsi="Inter"/>
          <w:sz w:val="20"/>
        </w:rPr>
        <w:t xml:space="preserve">Esta nota técnica responde a uma objeção específica, hoje recorrente em reuniões comerciais e frequentemente trazida pelo assessor contábil ou jurídico do próprio cliente: </w:t>
      </w:r>
      <w:r>
        <w:rPr>
          <w:rFonts w:ascii="Inter" w:hAnsi="Inter"/>
          <w:b/>
          <w:color w:val="010860"/>
          <w:sz w:val="20"/>
        </w:rPr>
        <w:t>"crédito de terceiro não pode ser usado para pagar imposto federal"</w:t>
      </w:r>
      <w:r>
        <w:rPr>
          <w:rFonts w:ascii="Inter" w:hAnsi="Inter"/>
          <w:sz w:val="20"/>
        </w:rPr>
        <w:t>.</w:t>
      </w:r>
    </w:p>
    <w:p>
      <w:pPr>
        <w:spacing w:after="120"/>
        <w:jc w:val="both"/>
      </w:pPr>
      <w:r>
        <w:rPr>
          <w:rFonts w:ascii="Inter" w:hAnsi="Inter"/>
          <w:sz w:val="20"/>
        </w:rPr>
        <w:t xml:space="preserve">O objetivo é triplo: (i) reconhecer o que há de correto na objeção; (ii) demonstrar tecnicamente por que ela não alcança a operação conduzida pela Lucro Ativo; e (iii) registrar, com transparência, os pontos que ainda dependem de definição jurídica interna. A nota é peça de </w:t>
      </w:r>
      <w:r>
        <w:rPr>
          <w:rFonts w:ascii="Inter" w:hAnsi="Inter"/>
          <w:b/>
          <w:color w:val="010860"/>
          <w:sz w:val="20"/>
        </w:rPr>
        <w:t>capacitação e de entrega assistida</w:t>
      </w:r>
      <w:r>
        <w:rPr>
          <w:rFonts w:ascii="Inter" w:hAnsi="Inter"/>
          <w:sz w:val="20"/>
        </w:rPr>
        <w:t xml:space="preserve"> — pode ser encaminhada ao assessor do cliente, sempre acompanhada de um executivo ou do jurídico.</w:t>
      </w:r>
    </w:p>
    <w:p>
      <w:pPr>
        <w:pStyle w:val="Heading1"/>
        <w:pBdr>
          <w:bottom w:val="single" w:sz="8" w:space="4" w:color="C9A227"/>
        </w:pBdr>
      </w:pPr>
      <w:r>
        <w:rPr>
          <w:rFonts w:ascii="Montserrat" w:hAnsi="Montserrat"/>
          <w:b/>
          <w:color w:val="8A6D0D"/>
          <w:sz w:val="28"/>
        </w:rPr>
        <w:t xml:space="preserve">2.  </w:t>
      </w:r>
      <w:r>
        <w:rPr>
          <w:rFonts w:ascii="Montserrat" w:hAnsi="Montserrat"/>
          <w:b/>
          <w:color w:val="010860"/>
          <w:sz w:val="28"/>
        </w:rPr>
        <w:t>A LINHA DO TEMPO DA OBRIGAÇÃO TRIBUTÁRIA</w:t>
      </w:r>
    </w:p>
    <w:p>
      <w:pPr>
        <w:spacing w:after="120"/>
        <w:jc w:val="both"/>
      </w:pPr>
      <w:r>
        <w:rPr>
          <w:rFonts w:ascii="Inter" w:hAnsi="Inter"/>
          <w:sz w:val="20"/>
        </w:rPr>
        <w:t xml:space="preserve">A obrigação tributária federal percorre quatro estações, e </w:t>
      </w:r>
      <w:r>
        <w:rPr>
          <w:rFonts w:ascii="Inter" w:hAnsi="Inter"/>
          <w:b/>
          <w:color w:val="010860"/>
          <w:sz w:val="20"/>
        </w:rPr>
        <w:t>o que pode ser utilizado muda em cada uma delas</w:t>
      </w:r>
      <w:r>
        <w:rPr>
          <w:rFonts w:ascii="Inter" w:hAnsi="Inter"/>
          <w:sz w:val="20"/>
        </w:rPr>
        <w:t>:</w:t>
      </w:r>
    </w:p>
    <w:p>
      <w:pPr>
        <w:pStyle w:val="ListBullet"/>
        <w:jc w:val="both"/>
      </w:pPr>
      <w:r>
        <w:rPr>
          <w:rFonts w:ascii="Inter" w:hAnsi="Inter"/>
          <w:b/>
          <w:color w:val="010860"/>
          <w:sz w:val="20"/>
        </w:rPr>
        <w:t>Fato gerador</w:t>
      </w:r>
      <w:r>
        <w:rPr>
          <w:rFonts w:ascii="Inter" w:hAnsi="Inter"/>
          <w:sz w:val="20"/>
        </w:rPr>
        <w:t xml:space="preserve"> — nasce a obrigação.</w:t>
      </w:r>
    </w:p>
    <w:p>
      <w:pPr>
        <w:pStyle w:val="ListBullet"/>
        <w:jc w:val="both"/>
      </w:pPr>
      <w:r>
        <w:rPr>
          <w:rFonts w:ascii="Inter" w:hAnsi="Inter"/>
          <w:b/>
          <w:color w:val="010860"/>
          <w:sz w:val="20"/>
        </w:rPr>
        <w:t>Apuração e escrituração</w:t>
      </w:r>
      <w:r>
        <w:rPr>
          <w:rFonts w:ascii="Inter" w:hAnsi="Inter"/>
          <w:sz w:val="20"/>
        </w:rPr>
        <w:t xml:space="preserve"> (EFD-Contribuições, EFD-ICMS/IPI, ECF) — define-se *o quanto* é devido.</w:t>
      </w:r>
    </w:p>
    <w:p>
      <w:pPr>
        <w:pStyle w:val="ListBullet"/>
        <w:jc w:val="both"/>
      </w:pPr>
      <w:r>
        <w:rPr>
          <w:rFonts w:ascii="Inter" w:hAnsi="Inter"/>
          <w:b/>
          <w:color w:val="010860"/>
          <w:sz w:val="20"/>
        </w:rPr>
        <w:t>Declaração e confissão</w:t>
      </w:r>
      <w:r>
        <w:rPr>
          <w:rFonts w:ascii="Inter" w:hAnsi="Inter"/>
          <w:sz w:val="20"/>
        </w:rPr>
        <w:t xml:space="preserve"> — hoje </w:t>
      </w:r>
      <w:r>
        <w:rPr>
          <w:rFonts w:ascii="Inter" w:hAnsi="Inter"/>
          <w:b/>
          <w:color w:val="010860"/>
          <w:sz w:val="20"/>
        </w:rPr>
        <w:t>DCTFWeb com o MIT</w:t>
      </w:r>
      <w:r>
        <w:rPr>
          <w:rFonts w:ascii="Inter" w:hAnsi="Inter"/>
          <w:sz w:val="20"/>
        </w:rPr>
        <w:t xml:space="preserve"> (Módulo de Inclusão de Tributos), na forma da IN RFB nº 2.237/2024, alterada pela IN RFB nº 2.248/2025.</w:t>
      </w:r>
    </w:p>
    <w:p>
      <w:pPr>
        <w:pStyle w:val="ListBullet"/>
        <w:jc w:val="both"/>
      </w:pPr>
      <w:r>
        <w:rPr>
          <w:rFonts w:ascii="Inter" w:hAnsi="Inter"/>
          <w:b/>
          <w:color w:val="010860"/>
          <w:sz w:val="20"/>
        </w:rPr>
        <w:t>Crédito tributário constituído</w:t>
      </w:r>
      <w:r>
        <w:rPr>
          <w:rFonts w:ascii="Inter" w:hAnsi="Inter"/>
          <w:sz w:val="20"/>
        </w:rPr>
        <w:t xml:space="preserve"> — somente se extingue pelas hipóteses do </w:t>
      </w:r>
      <w:r>
        <w:rPr>
          <w:rFonts w:ascii="Inter" w:hAnsi="Inter"/>
          <w:b/>
          <w:color w:val="010860"/>
          <w:sz w:val="20"/>
        </w:rPr>
        <w:t>art. 156 do CTN</w:t>
      </w:r>
      <w:r>
        <w:rPr>
          <w:rFonts w:ascii="Inter" w:hAnsi="Inter"/>
          <w:sz w:val="20"/>
        </w:rPr>
        <w:t>.</w:t>
      </w:r>
    </w:p>
    <w:p>
      <w:pPr>
        <w:spacing w:after="160"/>
        <w:jc w:val="both"/>
      </w:pPr>
      <w:r>
        <w:rPr>
          <w:rFonts w:ascii="Inter" w:hAnsi="Inter"/>
          <w:sz w:val="20"/>
        </w:rPr>
        <w:t xml:space="preserve">O divisor de águas é a terceira estação. Por força do </w:t>
      </w:r>
      <w:r>
        <w:rPr>
          <w:rFonts w:ascii="Inter" w:hAnsi="Inter"/>
          <w:b/>
          <w:color w:val="010860"/>
          <w:sz w:val="20"/>
        </w:rPr>
        <w:t>art. 5º, §1º, do Decreto-Lei nº 2.124/1984</w:t>
      </w:r>
      <w:r>
        <w:rPr>
          <w:rFonts w:ascii="Inter" w:hAnsi="Inter"/>
          <w:sz w:val="20"/>
        </w:rPr>
        <w:t xml:space="preserve"> e da </w:t>
      </w:r>
      <w:r>
        <w:rPr>
          <w:rFonts w:ascii="Inter" w:hAnsi="Inter"/>
          <w:b/>
          <w:color w:val="010860"/>
          <w:sz w:val="20"/>
        </w:rPr>
        <w:t>Súmula 436 do STJ</w:t>
      </w:r>
      <w:r>
        <w:rPr>
          <w:rFonts w:ascii="Inter" w:hAnsi="Inter"/>
          <w:sz w:val="20"/>
        </w:rPr>
        <w:t xml:space="preserve">, a entrega da declaração reconhecendo o débito </w:t>
      </w:r>
      <w:r>
        <w:rPr>
          <w:rFonts w:ascii="Inter" w:hAnsi="Inter"/>
          <w:b/>
          <w:color w:val="010860"/>
          <w:sz w:val="20"/>
        </w:rPr>
        <w:t>constitui o crédito tributário, dispensada qualquer outra providência do Fisco</w:t>
      </w:r>
      <w:r>
        <w:rPr>
          <w:rFonts w:ascii="Inter" w:hAnsi="Inter"/>
          <w:sz w:val="20"/>
        </w:rPr>
        <w:t>. Antes disso, o contribuinte está *formando* o valor devido; depois, está *extinguindo* um débito já constituído. São dois regimes jurídicos distintos — e confundi-los é a origem de todo o problema.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30" w:type="dxa"/>
          <w:left w:w="170" w:type="dxa"/>
          <w:bottom w:w="130" w:type="dxa"/>
          <w:right w:w="150" w:type="dxa"/>
        </w:tblCellMar>
      </w:tblPr>
      <w:tblGrid>
        <w:gridCol w:w="9298"/>
      </w:tblGrid>
      <w:tr>
        <w:tc>
          <w:tcPr>
            <w:tcW w:type="dxa" w:w="9298"/>
            <w:shd w:val="clear" w:fill="FBF7EA"/>
            <w:tcBorders>
              <w:left w:val="single" w:sz="18" w:color="C9A227"/>
            </w:tcBorders>
          </w:tcPr>
          <w:p>
            <w:pPr>
              <w:spacing w:after="80"/>
              <w:jc w:val="both"/>
            </w:pPr>
            <w:r>
              <w:rPr>
                <w:rFonts w:ascii="Inter" w:hAnsi="Inter"/>
                <w:i/>
                <w:color w:val="141414"/>
                <w:sz w:val="19"/>
              </w:rPr>
              <w:t>"A entrega de declaração pelo contribuinte, reconhecendo o débito fiscal, constitui o crédito tributário, dispensada qualquer outra providência por parte do Fisco."</w:t>
            </w:r>
          </w:p>
          <w:p>
            <w:pPr>
              <w:spacing w:after="0"/>
            </w:pPr>
            <w:r>
              <w:rPr>
                <w:rFonts w:ascii="Montserrat" w:hAnsi="Montserrat"/>
                <w:b/>
                <w:color w:val="8A6D0D"/>
                <w:sz w:val="16"/>
              </w:rPr>
              <w:t>Súmula 436 do Superior Tribunal de Justiça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8" w:space="4" w:color="C9A227"/>
        </w:pBdr>
      </w:pPr>
      <w:r>
        <w:rPr>
          <w:rFonts w:ascii="Montserrat" w:hAnsi="Montserrat"/>
          <w:b/>
          <w:color w:val="8A6D0D"/>
          <w:sz w:val="28"/>
        </w:rPr>
        <w:t xml:space="preserve">3.  </w:t>
      </w:r>
      <w:r>
        <w:rPr>
          <w:rFonts w:ascii="Montserrat" w:hAnsi="Montserrat"/>
          <w:b/>
          <w:color w:val="010860"/>
          <w:sz w:val="28"/>
        </w:rPr>
        <w:t>JANELA A — ANTES DA CONFISSÃO: CRÉDITO ESCRITURAL PRÓPRIO</w:t>
      </w:r>
    </w:p>
    <w:p>
      <w:pPr>
        <w:spacing w:after="120"/>
        <w:jc w:val="both"/>
      </w:pPr>
      <w:r>
        <w:rPr>
          <w:rFonts w:ascii="Inter" w:hAnsi="Inter"/>
          <w:sz w:val="20"/>
        </w:rPr>
        <w:t xml:space="preserve">Nesta fase reduz-se a base de cálculo ou abate-se crédito </w:t>
      </w:r>
      <w:r>
        <w:rPr>
          <w:rFonts w:ascii="Inter" w:hAnsi="Inter"/>
          <w:b/>
          <w:color w:val="010860"/>
          <w:sz w:val="20"/>
        </w:rPr>
        <w:t>escritural próprio</w:t>
      </w:r>
      <w:r>
        <w:rPr>
          <w:rFonts w:ascii="Inter" w:hAnsi="Inter"/>
          <w:sz w:val="20"/>
        </w:rPr>
        <w:t>, apurado pelo próprio sujeito passivo:</w:t>
      </w:r>
    </w:p>
    <w:p>
      <w:pPr>
        <w:pStyle w:val="ListBullet"/>
        <w:jc w:val="both"/>
      </w:pPr>
      <w:r>
        <w:rPr>
          <w:rFonts w:ascii="Inter" w:hAnsi="Inter"/>
          <w:b/>
          <w:color w:val="010860"/>
          <w:sz w:val="20"/>
        </w:rPr>
        <w:t>PIS/COFINS não cumulativos</w:t>
      </w:r>
      <w:r>
        <w:rPr>
          <w:rFonts w:ascii="Inter" w:hAnsi="Inter"/>
          <w:sz w:val="20"/>
        </w:rPr>
        <w:t xml:space="preserve"> — art. 3º da Lei nº 10.637/2002 e art. 3º da Lei nº 10.833/2003.</w:t>
      </w:r>
    </w:p>
    <w:p>
      <w:pPr>
        <w:pStyle w:val="ListBullet"/>
        <w:jc w:val="both"/>
      </w:pPr>
      <w:r>
        <w:rPr>
          <w:rFonts w:ascii="Inter" w:hAnsi="Inter"/>
          <w:b/>
          <w:color w:val="010860"/>
          <w:sz w:val="20"/>
        </w:rPr>
        <w:t>IPI</w:t>
      </w:r>
      <w:r>
        <w:rPr>
          <w:rFonts w:ascii="Inter" w:hAnsi="Inter"/>
          <w:sz w:val="20"/>
        </w:rPr>
        <w:t xml:space="preserve"> — art. 11 da Lei nº 9.779/1999.</w:t>
      </w:r>
    </w:p>
    <w:p>
      <w:pPr>
        <w:pStyle w:val="ListBullet"/>
        <w:jc w:val="both"/>
      </w:pPr>
      <w:r>
        <w:rPr>
          <w:rFonts w:ascii="Inter" w:hAnsi="Inter"/>
          <w:b/>
          <w:color w:val="010860"/>
          <w:sz w:val="20"/>
        </w:rPr>
        <w:t>Prejuízo Fiscal e Base de Cálculo Negativa de CSLL</w:t>
      </w:r>
      <w:r>
        <w:rPr>
          <w:rFonts w:ascii="Inter" w:hAnsi="Inter"/>
          <w:sz w:val="20"/>
        </w:rPr>
        <w:t xml:space="preserve"> — arts. 15 e 16 da Lei nº 9.065/1995, observada a trava de 30%.</w:t>
      </w:r>
    </w:p>
    <w:p>
      <w:pPr>
        <w:spacing w:after="120"/>
        <w:jc w:val="both"/>
      </w:pPr>
      <w:r>
        <w:rPr>
          <w:rFonts w:ascii="Inter" w:hAnsi="Inter"/>
          <w:sz w:val="20"/>
        </w:rPr>
        <w:t xml:space="preserve">Isto é </w:t>
      </w:r>
      <w:r>
        <w:rPr>
          <w:rFonts w:ascii="Inter" w:hAnsi="Inter"/>
          <w:b/>
          <w:color w:val="010860"/>
          <w:sz w:val="20"/>
        </w:rPr>
        <w:t>apuração, não compensação</w:t>
      </w:r>
      <w:r>
        <w:rPr>
          <w:rFonts w:ascii="Inter" w:hAnsi="Inter"/>
          <w:sz w:val="20"/>
        </w:rPr>
        <w:t xml:space="preserve">. E crédito de terceiro </w:t>
      </w:r>
      <w:r>
        <w:rPr>
          <w:rFonts w:ascii="Inter" w:hAnsi="Inter"/>
          <w:b/>
          <w:color w:val="010860"/>
          <w:sz w:val="20"/>
        </w:rPr>
        <w:t>não tem qualquer ingresso aqui</w:t>
      </w:r>
      <w:r>
        <w:rPr>
          <w:rFonts w:ascii="Inter" w:hAnsi="Inter"/>
          <w:sz w:val="20"/>
        </w:rPr>
        <w:t xml:space="preserve">: o crédito escritural é personalíssimo, vinculado ao sujeito passivo que o apurou. Lançar crédito alheio na escrituração fiscal configura declaração falsa, com tipificação nos arts. 1º e 2º da Lei nº 8.137/1990. </w:t>
      </w:r>
      <w:r>
        <w:rPr>
          <w:rFonts w:ascii="Inter" w:hAnsi="Inter"/>
          <w:b/>
          <w:color w:val="010860"/>
          <w:sz w:val="20"/>
        </w:rPr>
        <w:t>Nenhuma operação da Lucro Ativo opera nesta janela com ativo de terceiro.</w:t>
      </w:r>
    </w:p>
    <w:p>
      <w:pPr>
        <w:pStyle w:val="Heading1"/>
        <w:pBdr>
          <w:bottom w:val="single" w:sz="8" w:space="4" w:color="C9A227"/>
        </w:pBdr>
      </w:pPr>
      <w:r>
        <w:rPr>
          <w:rFonts w:ascii="Montserrat" w:hAnsi="Montserrat"/>
          <w:b/>
          <w:color w:val="8A6D0D"/>
          <w:sz w:val="28"/>
        </w:rPr>
        <w:t xml:space="preserve">4.  </w:t>
      </w:r>
      <w:r>
        <w:rPr>
          <w:rFonts w:ascii="Montserrat" w:hAnsi="Montserrat"/>
          <w:b/>
          <w:color w:val="010860"/>
          <w:sz w:val="28"/>
        </w:rPr>
        <w:t>JANELA B — DEPOIS DA CONFISSÃO: ONDE O ART. 74 FECHA A PORTA</w:t>
      </w:r>
    </w:p>
    <w:p>
      <w:pPr>
        <w:spacing w:after="120"/>
        <w:jc w:val="both"/>
      </w:pPr>
      <w:r>
        <w:rPr>
          <w:rFonts w:ascii="Inter" w:hAnsi="Inter"/>
          <w:sz w:val="20"/>
        </w:rPr>
        <w:t xml:space="preserve">Débito já constituído extingue-se apenas pelas hipóteses do art. 156 do CTN, e a compensação depende de </w:t>
      </w:r>
      <w:r>
        <w:rPr>
          <w:rFonts w:ascii="Inter" w:hAnsi="Inter"/>
          <w:b/>
          <w:color w:val="010860"/>
          <w:sz w:val="20"/>
        </w:rPr>
        <w:t>lei específica</w:t>
      </w:r>
      <w:r>
        <w:rPr>
          <w:rFonts w:ascii="Inter" w:hAnsi="Inter"/>
          <w:sz w:val="20"/>
        </w:rPr>
        <w:t xml:space="preserve"> (art. 170 do CTN). No âmbito federal, essa lei é o </w:t>
      </w:r>
      <w:r>
        <w:rPr>
          <w:rFonts w:ascii="Inter" w:hAnsi="Inter"/>
          <w:b/>
          <w:color w:val="010860"/>
          <w:sz w:val="20"/>
        </w:rPr>
        <w:t>art. 74 da Lei nº 9.430/1996</w:t>
      </w:r>
      <w:r>
        <w:rPr>
          <w:rFonts w:ascii="Inter" w:hAnsi="Inter"/>
          <w:sz w:val="20"/>
        </w:rPr>
        <w:t xml:space="preserve">, que autoriza o sujeito passivo a utilizar crédito "relativo a tributo ou contribuição administrado pela Secretaria da Receita Federal, passível de restituição ou de ressarcimento", para quitação de </w:t>
      </w:r>
      <w:r>
        <w:rPr>
          <w:rFonts w:ascii="Inter" w:hAnsi="Inter"/>
          <w:b/>
          <w:color w:val="010860"/>
          <w:sz w:val="20"/>
        </w:rPr>
        <w:t>débitos próprios</w:t>
      </w:r>
      <w:r>
        <w:rPr>
          <w:rFonts w:ascii="Inter" w:hAnsi="Inter"/>
          <w:sz w:val="20"/>
        </w:rPr>
        <w:t>.</w:t>
      </w:r>
    </w:p>
    <w:p>
      <w:pPr>
        <w:spacing w:after="160"/>
        <w:jc w:val="both"/>
      </w:pPr>
      <w:r>
        <w:rPr>
          <w:rFonts w:ascii="Inter" w:hAnsi="Inter"/>
          <w:sz w:val="20"/>
        </w:rPr>
        <w:t xml:space="preserve">E o </w:t>
      </w:r>
      <w:r>
        <w:rPr>
          <w:rFonts w:ascii="Inter" w:hAnsi="Inter"/>
          <w:b/>
          <w:color w:val="010860"/>
          <w:sz w:val="20"/>
        </w:rPr>
        <w:t>§12, inciso II, alínea "a"</w:t>
      </w:r>
      <w:r>
        <w:rPr>
          <w:rFonts w:ascii="Inter" w:hAnsi="Inter"/>
          <w:sz w:val="20"/>
        </w:rPr>
        <w:t xml:space="preserve">, é expresso: considera-se </w:t>
      </w:r>
      <w:r>
        <w:rPr>
          <w:rFonts w:ascii="Inter" w:hAnsi="Inter"/>
          <w:b/>
          <w:color w:val="010860"/>
          <w:sz w:val="20"/>
        </w:rPr>
        <w:t>não declarada</w:t>
      </w:r>
      <w:r>
        <w:rPr>
          <w:rFonts w:ascii="Inter" w:hAnsi="Inter"/>
          <w:sz w:val="20"/>
        </w:rPr>
        <w:t xml:space="preserve"> a compensação em que o crédito </w:t>
      </w:r>
      <w:r>
        <w:rPr>
          <w:rFonts w:ascii="Inter" w:hAnsi="Inter"/>
          <w:b/>
          <w:color w:val="010860"/>
          <w:sz w:val="20"/>
        </w:rPr>
        <w:t>seja de terceiro</w:t>
      </w:r>
      <w:r>
        <w:rPr>
          <w:rFonts w:ascii="Inter" w:hAnsi="Inter"/>
          <w:sz w:val="20"/>
        </w:rPr>
        <w:t>. Os efeitos de cair nesse enquadramento são severos:</w:t>
      </w:r>
    </w:p>
    <w:p>
      <w:pPr>
        <w:pStyle w:val="ListBullet"/>
        <w:jc w:val="both"/>
      </w:pPr>
      <w:r>
        <w:rPr>
          <w:rFonts w:ascii="Inter" w:hAnsi="Inter"/>
          <w:b/>
          <w:color w:val="010860"/>
          <w:sz w:val="20"/>
        </w:rPr>
        <w:t>não extingue</w:t>
      </w:r>
      <w:r>
        <w:rPr>
          <w:rFonts w:ascii="Inter" w:hAnsi="Inter"/>
          <w:sz w:val="20"/>
        </w:rPr>
        <w:t xml:space="preserve"> o débito e </w:t>
      </w:r>
      <w:r>
        <w:rPr>
          <w:rFonts w:ascii="Inter" w:hAnsi="Inter"/>
          <w:b/>
          <w:color w:val="010860"/>
          <w:sz w:val="20"/>
        </w:rPr>
        <w:t>não suspende</w:t>
      </w:r>
      <w:r>
        <w:rPr>
          <w:rFonts w:ascii="Inter" w:hAnsi="Inter"/>
          <w:sz w:val="20"/>
        </w:rPr>
        <w:t xml:space="preserve"> a exigibilidade;</w:t>
      </w:r>
    </w:p>
    <w:p>
      <w:pPr>
        <w:pStyle w:val="ListBullet"/>
        <w:jc w:val="both"/>
      </w:pPr>
      <w:r>
        <w:rPr>
          <w:rFonts w:ascii="Inter" w:hAnsi="Inter"/>
          <w:b/>
          <w:color w:val="010860"/>
          <w:sz w:val="20"/>
        </w:rPr>
        <w:t>não cabe</w:t>
      </w:r>
      <w:r>
        <w:rPr>
          <w:rFonts w:ascii="Inter" w:hAnsi="Inter"/>
          <w:sz w:val="20"/>
        </w:rPr>
        <w:t xml:space="preserve"> manifestação de inconformidade (§13) — segue direto para cobrança e inscrição;</w:t>
      </w:r>
    </w:p>
    <w:p>
      <w:pPr>
        <w:pStyle w:val="ListBullet"/>
        <w:jc w:val="both"/>
      </w:pPr>
      <w:r>
        <w:rPr>
          <w:rFonts w:ascii="Inter" w:hAnsi="Inter"/>
          <w:b/>
          <w:color w:val="010860"/>
          <w:sz w:val="20"/>
        </w:rPr>
        <w:t>multa isolada de 50%</w:t>
      </w:r>
      <w:r>
        <w:rPr>
          <w:rFonts w:ascii="Inter" w:hAnsi="Inter"/>
          <w:sz w:val="20"/>
        </w:rPr>
        <w:t xml:space="preserve"> sobre o valor indevidamente compensado (§17);</w:t>
      </w:r>
    </w:p>
    <w:p>
      <w:pPr>
        <w:pStyle w:val="ListBullet"/>
        <w:jc w:val="both"/>
      </w:pPr>
      <w:r>
        <w:rPr>
          <w:rFonts w:ascii="Inter" w:hAnsi="Inter"/>
          <w:sz w:val="20"/>
        </w:rPr>
        <w:t xml:space="preserve">caracterizada sonegação, fraude ou conluio, </w:t>
      </w:r>
      <w:r>
        <w:rPr>
          <w:rFonts w:ascii="Inter" w:hAnsi="Inter"/>
          <w:b/>
          <w:color w:val="010860"/>
          <w:sz w:val="20"/>
        </w:rPr>
        <w:t>multa qualificada de 100%</w:t>
      </w:r>
      <w:r>
        <w:rPr>
          <w:rFonts w:ascii="Inter" w:hAnsi="Inter"/>
          <w:sz w:val="20"/>
        </w:rPr>
        <w:t xml:space="preserve"> — art. 44, §1º, da Lei nº 9.430/1996, na redação dada pela </w:t>
      </w:r>
      <w:r>
        <w:rPr>
          <w:rFonts w:ascii="Inter" w:hAnsi="Inter"/>
          <w:b/>
          <w:color w:val="010860"/>
          <w:sz w:val="20"/>
        </w:rPr>
        <w:t>Lei nº 14.689/2023</w:t>
      </w:r>
      <w:r>
        <w:rPr>
          <w:rFonts w:ascii="Inter" w:hAnsi="Inter"/>
          <w:sz w:val="20"/>
        </w:rPr>
        <w:t xml:space="preserve">, orientação confirmada pelo </w:t>
      </w:r>
      <w:r>
        <w:rPr>
          <w:rFonts w:ascii="Inter" w:hAnsi="Inter"/>
          <w:b/>
          <w:color w:val="010860"/>
          <w:sz w:val="20"/>
        </w:rPr>
        <w:t>STF no Tema 863 (RE 736.090</w:t>
      </w:r>
      <w:r>
        <w:rPr>
          <w:rFonts w:ascii="Inter" w:hAnsi="Inter"/>
          <w:sz w:val="20"/>
        </w:rPr>
        <w:t xml:space="preserve">, out./2024); os 150% aplicam-se </w:t>
      </w:r>
      <w:r>
        <w:rPr>
          <w:rFonts w:ascii="Inter" w:hAnsi="Inter"/>
          <w:b/>
          <w:color w:val="010860"/>
          <w:sz w:val="20"/>
        </w:rPr>
        <w:t>apenas em reincidência</w:t>
      </w:r>
      <w:r>
        <w:rPr>
          <w:rFonts w:ascii="Inter" w:hAnsi="Inter"/>
          <w:sz w:val="20"/>
        </w:rPr>
        <w:t xml:space="preserve"> (§1º-A);</w:t>
      </w:r>
    </w:p>
    <w:p>
      <w:pPr>
        <w:pStyle w:val="ListBullet"/>
        <w:jc w:val="both"/>
      </w:pPr>
      <w:r>
        <w:rPr>
          <w:rFonts w:ascii="Inter" w:hAnsi="Inter"/>
          <w:b/>
          <w:color w:val="010860"/>
          <w:sz w:val="20"/>
        </w:rPr>
        <w:t>representação fiscal para fins penais</w:t>
      </w:r>
      <w:r>
        <w:rPr>
          <w:rFonts w:ascii="Inter" w:hAnsi="Inter"/>
          <w:sz w:val="20"/>
        </w:rPr>
        <w:t xml:space="preserve"> — art. 83 da Lei nº 9.430/1996, combinado com a Lei nº 8.137/1990.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9298"/>
      </w:tblGrid>
      <w:tr>
        <w:tc>
          <w:tcPr>
            <w:tcW w:type="dxa" w:w="9298"/>
            <w:shd w:val="clear" w:fill="FDF1F1"/>
            <w:tcBorders>
              <w:left w:val="single" w:sz="18" w:color="010860"/>
            </w:tcBorders>
          </w:tcPr>
          <w:p>
            <w:pPr>
              <w:spacing w:after="60"/>
            </w:pPr>
            <w:r>
              <w:rPr>
                <w:rFonts w:ascii="Montserrat" w:hAnsi="Montserrat"/>
                <w:b/>
                <w:color w:val="A31B1B"/>
                <w:sz w:val="18"/>
              </w:rPr>
              <w:t>▸ PONTO DE ATENÇÃO COMERCIAL</w:t>
            </w:r>
          </w:p>
          <w:p>
            <w:pPr>
              <w:spacing w:after="0"/>
              <w:jc w:val="both"/>
            </w:pPr>
            <w:r>
              <w:rPr>
                <w:rFonts w:ascii="Inter" w:hAnsi="Inter"/>
                <w:sz w:val="19"/>
              </w:rPr>
              <w:t xml:space="preserve">É </w:t>
            </w:r>
            <w:r>
              <w:rPr>
                <w:rFonts w:ascii="Inter" w:hAnsi="Inter"/>
                <w:b/>
                <w:color w:val="010860"/>
                <w:sz w:val="19"/>
              </w:rPr>
              <w:t>exatamente aqui</w:t>
            </w:r>
            <w:r>
              <w:rPr>
                <w:rFonts w:ascii="Inter" w:hAnsi="Inter"/>
                <w:sz w:val="19"/>
              </w:rPr>
              <w:t xml:space="preserve"> que estão as autuações noticiadas. O modelo autuado toma um crédito de </w:t>
            </w:r>
            <w:r>
              <w:rPr>
                <w:rFonts w:ascii="Inter" w:hAnsi="Inter"/>
                <w:b/>
                <w:color w:val="010860"/>
                <w:sz w:val="19"/>
              </w:rPr>
              <w:t>natureza tributária</w:t>
            </w:r>
            <w:r>
              <w:rPr>
                <w:rFonts w:ascii="Inter" w:hAnsi="Inter"/>
                <w:sz w:val="19"/>
              </w:rPr>
              <w:t xml:space="preserve"> pertencente a terceiro e o lança em DCOMP </w:t>
            </w:r>
            <w:r>
              <w:rPr>
                <w:rFonts w:ascii="Inter" w:hAnsi="Inter"/>
                <w:b/>
                <w:color w:val="010860"/>
                <w:sz w:val="19"/>
              </w:rPr>
              <w:t>após a confissão do débito</w:t>
            </w:r>
            <w:r>
              <w:rPr>
                <w:rFonts w:ascii="Inter" w:hAnsi="Inter"/>
                <w:sz w:val="19"/>
              </w:rPr>
              <w:t xml:space="preserve">. É a porta errada — e a Lucro Ativo não a utiliza. Ao executivo: </w:t>
            </w:r>
            <w:r>
              <w:rPr>
                <w:rFonts w:ascii="Inter" w:hAnsi="Inter"/>
                <w:b/>
                <w:color w:val="010860"/>
                <w:sz w:val="19"/>
              </w:rPr>
              <w:t>não relativize esse risco na frente do cliente</w:t>
            </w:r>
            <w:r>
              <w:rPr>
                <w:rFonts w:ascii="Inter" w:hAnsi="Inter"/>
                <w:sz w:val="19"/>
              </w:rPr>
              <w:t>. Reconhecê-lo é o que dá credibilidade à distinção que vem a seguir.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8" w:space="4" w:color="C9A227"/>
        </w:pBdr>
      </w:pPr>
      <w:r>
        <w:rPr>
          <w:rFonts w:ascii="Montserrat" w:hAnsi="Montserrat"/>
          <w:b/>
          <w:color w:val="8A6D0D"/>
          <w:sz w:val="28"/>
        </w:rPr>
        <w:t xml:space="preserve">5.  </w:t>
      </w:r>
      <w:r>
        <w:rPr>
          <w:rFonts w:ascii="Montserrat" w:hAnsi="Montserrat"/>
          <w:b/>
          <w:color w:val="010860"/>
          <w:sz w:val="28"/>
        </w:rPr>
        <w:t>POR QUE A OPERAÇÃO DE DCF NÃO SE ENQUADRA NA JANELA B</w:t>
      </w:r>
    </w:p>
    <w:p>
      <w:pPr>
        <w:pStyle w:val="Heading2"/>
      </w:pPr>
      <w:r>
        <w:rPr>
          <w:rFonts w:ascii="Montserrat" w:hAnsi="Montserrat"/>
          <w:color w:val="010860"/>
          <w:sz w:val="23"/>
        </w:rPr>
        <w:t>5.1  Primeira camada — natureza do ativo: o art. 74 não alcança o que não é tributo</w:t>
      </w:r>
    </w:p>
    <w:p>
      <w:pPr>
        <w:spacing w:after="120"/>
        <w:jc w:val="both"/>
      </w:pPr>
      <w:r>
        <w:rPr>
          <w:rFonts w:ascii="Inter" w:hAnsi="Inter"/>
          <w:sz w:val="20"/>
        </w:rPr>
        <w:t xml:space="preserve">O art. 74 disciplina crédito </w:t>
      </w:r>
      <w:r>
        <w:rPr>
          <w:rFonts w:ascii="Inter" w:hAnsi="Inter"/>
          <w:b/>
          <w:color w:val="010860"/>
          <w:sz w:val="20"/>
        </w:rPr>
        <w:t>relativo a tributo administrado pela RFB</w:t>
      </w:r>
      <w:r>
        <w:rPr>
          <w:rFonts w:ascii="Inter" w:hAnsi="Inter"/>
          <w:sz w:val="20"/>
        </w:rPr>
        <w:t xml:space="preserve">. O ativo utilizado na operação de DCF é </w:t>
      </w:r>
      <w:r>
        <w:rPr>
          <w:rFonts w:ascii="Inter" w:hAnsi="Inter"/>
          <w:b/>
          <w:color w:val="010860"/>
          <w:sz w:val="20"/>
        </w:rPr>
        <w:t>direito creditório de natureza civil contra a União</w:t>
      </w:r>
      <w:r>
        <w:rPr>
          <w:rFonts w:ascii="Inter" w:hAnsi="Inter"/>
          <w:sz w:val="20"/>
        </w:rPr>
        <w:t xml:space="preserve">, reconhecido em decisão judicial </w:t>
      </w:r>
      <w:r>
        <w:rPr>
          <w:rFonts w:ascii="Inter" w:hAnsi="Inter"/>
          <w:b/>
          <w:color w:val="010860"/>
          <w:sz w:val="20"/>
        </w:rPr>
        <w:t>transitada em julgado</w:t>
      </w:r>
      <w:r>
        <w:rPr>
          <w:rFonts w:ascii="Inter" w:hAnsi="Inter"/>
          <w:sz w:val="20"/>
        </w:rPr>
        <w:t xml:space="preserve"> — não é indébito tributário, não decorre de pagamento a maior de tributo e não se submete àquele rito. A vedação de "crédito de terceiro" é regra </w:t>
      </w:r>
      <w:r>
        <w:rPr>
          <w:rFonts w:ascii="Inter" w:hAnsi="Inter"/>
          <w:b/>
          <w:color w:val="010860"/>
          <w:sz w:val="20"/>
        </w:rPr>
        <w:t>daquele procedimento específico</w:t>
      </w:r>
      <w:r>
        <w:rPr>
          <w:rFonts w:ascii="Inter" w:hAnsi="Inter"/>
          <w:sz w:val="20"/>
        </w:rPr>
        <w:t>, e não princípio geral do ordenamento. Afirmar que "a legislação brasileira não admite crédito de terceiro" é converter uma regra de procedimento em regra de sistema.</w:t>
      </w:r>
    </w:p>
    <w:p>
      <w:pPr>
        <w:pStyle w:val="Heading2"/>
      </w:pPr>
      <w:r>
        <w:rPr>
          <w:rFonts w:ascii="Montserrat" w:hAnsi="Montserrat"/>
          <w:color w:val="010860"/>
          <w:sz w:val="23"/>
        </w:rPr>
        <w:t>5.2  Segunda camada — autorização constitucional expressa (EC nº 113/2021)</w:t>
      </w:r>
    </w:p>
    <w:p>
      <w:pPr>
        <w:spacing w:after="160"/>
        <w:jc w:val="both"/>
      </w:pPr>
      <w:r>
        <w:rPr>
          <w:rFonts w:ascii="Inter" w:hAnsi="Inter"/>
          <w:sz w:val="20"/>
        </w:rPr>
        <w:t>O art. 100, §11, da Constituição, na redação dada pela Emenda Constitucional nº 113/2021, é o fundamento da operação: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30" w:type="dxa"/>
          <w:left w:w="170" w:type="dxa"/>
          <w:bottom w:w="130" w:type="dxa"/>
          <w:right w:w="150" w:type="dxa"/>
        </w:tblCellMar>
      </w:tblPr>
      <w:tblGrid>
        <w:gridCol w:w="9298"/>
      </w:tblGrid>
      <w:tr>
        <w:tc>
          <w:tcPr>
            <w:tcW w:type="dxa" w:w="9298"/>
            <w:shd w:val="clear" w:fill="FBF7EA"/>
            <w:tcBorders>
              <w:left w:val="single" w:sz="18" w:color="C9A227"/>
            </w:tcBorders>
          </w:tcPr>
          <w:p>
            <w:pPr>
              <w:spacing w:after="80"/>
              <w:jc w:val="both"/>
            </w:pPr>
            <w:r>
              <w:rPr>
                <w:rFonts w:ascii="Inter" w:hAnsi="Inter"/>
                <w:i/>
                <w:color w:val="141414"/>
                <w:sz w:val="19"/>
              </w:rPr>
              <w:t>"É facultada ao credor [...] a oferta de créditos líquidos e certos que originalmente lhe são próprios ou adquiridos de terceiros, reconhecidos pelo ente federativo ou por decisão judicial transitada em julgado [...]"</w:t>
            </w:r>
          </w:p>
          <w:p>
            <w:pPr>
              <w:spacing w:after="0"/>
            </w:pPr>
            <w:r>
              <w:rPr>
                <w:rFonts w:ascii="Montserrat" w:hAnsi="Montserrat"/>
                <w:b/>
                <w:color w:val="8A6D0D"/>
                <w:sz w:val="16"/>
              </w:rPr>
              <w:t>Art. 100, §11, da Constituição Federal — redação da EC nº 113/2021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rFonts w:ascii="Inter" w:hAnsi="Inter"/>
          <w:sz w:val="20"/>
        </w:rPr>
        <w:t>Três leituras decorrem do texto:</w:t>
      </w:r>
    </w:p>
    <w:p>
      <w:pPr>
        <w:pStyle w:val="ListBullet"/>
        <w:jc w:val="both"/>
      </w:pPr>
      <w:r>
        <w:rPr>
          <w:rFonts w:ascii="Inter" w:hAnsi="Inter"/>
          <w:sz w:val="20"/>
        </w:rPr>
        <w:t xml:space="preserve">o dispositivo </w:t>
      </w:r>
      <w:r>
        <w:rPr>
          <w:rFonts w:ascii="Inter" w:hAnsi="Inter"/>
          <w:b/>
          <w:color w:val="010860"/>
          <w:sz w:val="20"/>
        </w:rPr>
        <w:t>não fala em "precatório"</w:t>
      </w:r>
      <w:r>
        <w:rPr>
          <w:rFonts w:ascii="Inter" w:hAnsi="Inter"/>
          <w:sz w:val="20"/>
        </w:rPr>
        <w:t xml:space="preserve">, e sim em "créditos líquidos e certos" — razão pela qual a terminologia correta da operação é </w:t>
      </w:r>
      <w:r>
        <w:rPr>
          <w:rFonts w:ascii="Inter" w:hAnsi="Inter"/>
          <w:b/>
          <w:color w:val="010860"/>
          <w:sz w:val="20"/>
        </w:rPr>
        <w:t>direito creditório</w:t>
      </w:r>
      <w:r>
        <w:rPr>
          <w:rFonts w:ascii="Inter" w:hAnsi="Inter"/>
          <w:sz w:val="20"/>
        </w:rPr>
        <w:t xml:space="preserve">, e razão pela qual </w:t>
      </w:r>
      <w:r>
        <w:rPr>
          <w:rFonts w:ascii="Inter" w:hAnsi="Inter"/>
          <w:b/>
          <w:color w:val="010860"/>
          <w:sz w:val="20"/>
        </w:rPr>
        <w:t>não há fila nem ordem cronológica</w:t>
      </w:r>
      <w:r>
        <w:rPr>
          <w:rFonts w:ascii="Inter" w:hAnsi="Inter"/>
          <w:sz w:val="20"/>
        </w:rPr>
        <w:t xml:space="preserve"> de pagamento;</w:t>
      </w:r>
    </w:p>
    <w:p>
      <w:pPr>
        <w:pStyle w:val="ListBullet"/>
        <w:jc w:val="both"/>
      </w:pPr>
      <w:r>
        <w:rPr>
          <w:rFonts w:ascii="Inter" w:hAnsi="Inter"/>
          <w:sz w:val="20"/>
        </w:rPr>
        <w:t>a expressão "</w:t>
      </w:r>
      <w:r>
        <w:rPr>
          <w:rFonts w:ascii="Inter" w:hAnsi="Inter"/>
          <w:b/>
          <w:color w:val="010860"/>
          <w:sz w:val="20"/>
        </w:rPr>
        <w:t>adquiridos de terceiros</w:t>
      </w:r>
      <w:r>
        <w:rPr>
          <w:rFonts w:ascii="Inter" w:hAnsi="Inter"/>
          <w:sz w:val="20"/>
        </w:rPr>
        <w:t xml:space="preserve">" está no texto constitucional, com todas as letras: a aquisição de crédito alheio é </w:t>
      </w:r>
      <w:r>
        <w:rPr>
          <w:rFonts w:ascii="Inter" w:hAnsi="Inter"/>
          <w:b/>
          <w:color w:val="010860"/>
          <w:sz w:val="20"/>
        </w:rPr>
        <w:t>constitucionalmente autorizada</w:t>
      </w:r>
      <w:r>
        <w:rPr>
          <w:rFonts w:ascii="Inter" w:hAnsi="Inter"/>
          <w:sz w:val="20"/>
        </w:rPr>
        <w:t xml:space="preserve"> para essa finalidade;</w:t>
      </w:r>
    </w:p>
    <w:p>
      <w:pPr>
        <w:pStyle w:val="ListBullet"/>
        <w:jc w:val="both"/>
      </w:pPr>
      <w:r>
        <w:rPr>
          <w:rFonts w:ascii="Inter" w:hAnsi="Inter"/>
          <w:sz w:val="20"/>
        </w:rPr>
        <w:t xml:space="preserve">trata-se de norma </w:t>
      </w:r>
      <w:r>
        <w:rPr>
          <w:rFonts w:ascii="Inter" w:hAnsi="Inter"/>
          <w:b/>
          <w:color w:val="010860"/>
          <w:sz w:val="20"/>
        </w:rPr>
        <w:t>superior, posterior (2021) e específica</w:t>
      </w:r>
      <w:r>
        <w:rPr>
          <w:rFonts w:ascii="Inter" w:hAnsi="Inter"/>
          <w:sz w:val="20"/>
        </w:rPr>
        <w:t xml:space="preserve"> em relação à lei ordinária de 1996. Não há antinomia a resolver: são </w:t>
      </w:r>
      <w:r>
        <w:rPr>
          <w:rFonts w:ascii="Inter" w:hAnsi="Inter"/>
          <w:b/>
          <w:color w:val="010860"/>
          <w:sz w:val="20"/>
        </w:rPr>
        <w:t>dois regimes distintos</w:t>
      </w:r>
      <w:r>
        <w:rPr>
          <w:rFonts w:ascii="Inter" w:hAnsi="Inter"/>
          <w:sz w:val="20"/>
        </w:rPr>
        <w:t>, e não um contra o outro.</w:t>
      </w:r>
    </w:p>
    <w:p>
      <w:pPr>
        <w:pStyle w:val="Heading2"/>
      </w:pPr>
      <w:r>
        <w:rPr>
          <w:rFonts w:ascii="Montserrat" w:hAnsi="Montserrat"/>
          <w:color w:val="010860"/>
          <w:sz w:val="23"/>
        </w:rPr>
        <w:t>5.3  Terceira camada — marco temporal da titularidade</w:t>
      </w:r>
    </w:p>
    <w:p>
      <w:pPr>
        <w:spacing w:after="120"/>
        <w:jc w:val="both"/>
      </w:pPr>
      <w:r>
        <w:rPr>
          <w:rFonts w:ascii="Inter" w:hAnsi="Inter"/>
          <w:sz w:val="20"/>
        </w:rPr>
        <w:t xml:space="preserve">Ainda que se insistisse na aplicação do art. 74, a objeção não se sustentaria: a vedação pressupõe crédito </w:t>
      </w:r>
      <w:r>
        <w:rPr>
          <w:rFonts w:ascii="Inter" w:hAnsi="Inter"/>
          <w:b/>
          <w:color w:val="010860"/>
          <w:sz w:val="20"/>
        </w:rPr>
        <w:t>alheio no momento do uso</w:t>
      </w:r>
      <w:r>
        <w:rPr>
          <w:rFonts w:ascii="Inter" w:hAnsi="Inter"/>
          <w:sz w:val="20"/>
        </w:rPr>
        <w:t xml:space="preserve">. Na operação de DCF, a </w:t>
      </w:r>
      <w:r>
        <w:rPr>
          <w:rFonts w:ascii="Inter" w:hAnsi="Inter"/>
          <w:b/>
          <w:color w:val="010860"/>
          <w:sz w:val="20"/>
        </w:rPr>
        <w:t>cessão civil</w:t>
      </w:r>
      <w:r>
        <w:rPr>
          <w:rFonts w:ascii="Inter" w:hAnsi="Inter"/>
          <w:sz w:val="20"/>
        </w:rPr>
        <w:t xml:space="preserve"> (arts. 286 a 298 do Código Civil) e a </w:t>
      </w:r>
      <w:r>
        <w:rPr>
          <w:rFonts w:ascii="Inter" w:hAnsi="Inter"/>
          <w:b/>
          <w:color w:val="010860"/>
          <w:sz w:val="20"/>
        </w:rPr>
        <w:t>habilitação do cessionário</w:t>
      </w:r>
      <w:r>
        <w:rPr>
          <w:rFonts w:ascii="Inter" w:hAnsi="Inter"/>
          <w:sz w:val="20"/>
        </w:rPr>
        <w:t xml:space="preserve"> ocorrem </w:t>
      </w:r>
      <w:r>
        <w:rPr>
          <w:rFonts w:ascii="Inter" w:hAnsi="Inter"/>
          <w:b/>
          <w:color w:val="010860"/>
          <w:sz w:val="20"/>
        </w:rPr>
        <w:t>antes</w:t>
      </w:r>
      <w:r>
        <w:rPr>
          <w:rFonts w:ascii="Inter" w:hAnsi="Inter"/>
          <w:sz w:val="20"/>
        </w:rPr>
        <w:t xml:space="preserve"> de qualquer compensação. Quando a declaração é transmitida, </w:t>
      </w:r>
      <w:r>
        <w:rPr>
          <w:rFonts w:ascii="Inter" w:hAnsi="Inter"/>
          <w:b/>
          <w:color w:val="010860"/>
          <w:sz w:val="20"/>
        </w:rPr>
        <w:t>o crédito é próprio</w:t>
      </w:r>
      <w:r>
        <w:rPr>
          <w:rFonts w:ascii="Inter" w:hAnsi="Inter"/>
          <w:sz w:val="20"/>
        </w:rPr>
        <w:t xml:space="preserve">. Registre-se, ademais, que a cessão de crédito civil </w:t>
      </w:r>
      <w:r>
        <w:rPr>
          <w:rFonts w:ascii="Inter" w:hAnsi="Inter"/>
          <w:b/>
          <w:color w:val="010860"/>
          <w:sz w:val="20"/>
        </w:rPr>
        <w:t>independe do consentimento do devedor</w:t>
      </w:r>
      <w:r>
        <w:rPr>
          <w:rFonts w:ascii="Inter" w:hAnsi="Inter"/>
          <w:sz w:val="20"/>
        </w:rPr>
        <w:t xml:space="preserve"> (art. 286), bastando a notificação para eficácia perante ele (art. 290).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9298"/>
      </w:tblGrid>
      <w:tr>
        <w:tc>
          <w:tcPr>
            <w:tcW w:type="dxa" w:w="9298"/>
            <w:shd w:val="clear" w:fill="F1F6F2"/>
            <w:tcBorders>
              <w:left w:val="single" w:sz="18" w:color="010860"/>
            </w:tcBorders>
          </w:tcPr>
          <w:p>
            <w:pPr>
              <w:spacing w:after="60"/>
            </w:pPr>
            <w:r>
              <w:rPr>
                <w:rFonts w:ascii="Montserrat" w:hAnsi="Montserrat"/>
                <w:b/>
                <w:color w:val="1B5E3A"/>
                <w:sz w:val="18"/>
              </w:rPr>
              <w:t>▸ A FRASE QUE RESOLVE</w:t>
            </w:r>
          </w:p>
          <w:p>
            <w:pPr>
              <w:spacing w:after="0"/>
              <w:jc w:val="both"/>
            </w:pPr>
            <w:r>
              <w:rPr>
                <w:rFonts w:ascii="Inter" w:hAnsi="Inter"/>
                <w:sz w:val="19"/>
              </w:rPr>
              <w:t xml:space="preserve">Na compensação irregular que a Receita combate, </w:t>
            </w:r>
            <w:r>
              <w:rPr>
                <w:rFonts w:ascii="Inter" w:hAnsi="Inter"/>
                <w:b/>
                <w:color w:val="010860"/>
                <w:sz w:val="19"/>
              </w:rPr>
              <w:t>alguém utiliza crédito que não é seu</w:t>
            </w:r>
            <w:r>
              <w:rPr>
                <w:rFonts w:ascii="Inter" w:hAnsi="Inter"/>
                <w:sz w:val="19"/>
              </w:rPr>
              <w:t xml:space="preserve">. Na operação da Lucro Ativo, </w:t>
            </w:r>
            <w:r>
              <w:rPr>
                <w:rFonts w:ascii="Inter" w:hAnsi="Inter"/>
                <w:b/>
                <w:color w:val="010860"/>
                <w:sz w:val="19"/>
              </w:rPr>
              <w:t>o crédito é do cliente antes de ser usado</w:t>
            </w:r>
            <w:r>
              <w:rPr>
                <w:rFonts w:ascii="Inter" w:hAnsi="Inter"/>
                <w:sz w:val="19"/>
              </w:rPr>
              <w:t>. Não é uma variação do mesmo modelo — é o seu oposto.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8" w:space="4" w:color="C9A227"/>
        </w:pBdr>
      </w:pPr>
      <w:r>
        <w:rPr>
          <w:rFonts w:ascii="Montserrat" w:hAnsi="Montserrat"/>
          <w:b/>
          <w:color w:val="8A6D0D"/>
          <w:sz w:val="28"/>
        </w:rPr>
        <w:t xml:space="preserve">6.  </w:t>
      </w:r>
      <w:r>
        <w:rPr>
          <w:rFonts w:ascii="Montserrat" w:hAnsi="Montserrat"/>
          <w:b/>
          <w:color w:val="010860"/>
          <w:sz w:val="28"/>
        </w:rPr>
        <w:t>QUADRO COMPARATIVO</w:t>
      </w:r>
    </w:p>
    <w:p>
      <w:pPr>
        <w:spacing w:after="160"/>
        <w:jc w:val="both"/>
      </w:pPr>
      <w:r>
        <w:rPr>
          <w:rFonts w:ascii="Inter" w:hAnsi="Inter"/>
          <w:sz w:val="20"/>
        </w:rPr>
        <w:t>Sete critérios objetivos separam o modelo autuado da operação conduzida pela Lucro Ativo: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1EC"/>
          <w:left w:val="single" w:sz="4" w:color="DDE1EC"/>
          <w:bottom w:val="single" w:sz="4" w:color="DDE1EC"/>
          <w:right w:val="single" w:sz="4" w:color="DDE1EC"/>
          <w:insideH w:val="single" w:sz="4" w:color="DDE1EC"/>
          <w:insideV w:val="single" w:sz="4" w:color="DDE1EC"/>
        </w:tblBorders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041"/>
        <w:gridCol w:w="3628"/>
        <w:gridCol w:w="3628"/>
      </w:tblGrid>
      <w:tr>
        <w:tc>
          <w:tcPr>
            <w:tcW w:type="dxa" w:w="2041"/>
            <w:shd w:val="clear" w:fill="010860"/>
          </w:tcPr>
          <w:p>
            <w:pPr>
              <w:spacing w:after="0" w:line="269" w:lineRule="auto"/>
            </w:pPr>
            <w:r>
              <w:rPr>
                <w:rFonts w:ascii="Montserrat" w:hAnsi="Montserrat"/>
                <w:b/>
                <w:color w:val="FFFFFF"/>
                <w:sz w:val="16"/>
              </w:rPr>
              <w:t>CRITÉRIO</w:t>
            </w:r>
          </w:p>
        </w:tc>
        <w:tc>
          <w:tcPr>
            <w:tcW w:type="dxa" w:w="3628"/>
            <w:shd w:val="clear" w:fill="010860"/>
          </w:tcPr>
          <w:p>
            <w:pPr>
              <w:spacing w:after="0" w:line="269" w:lineRule="auto"/>
            </w:pPr>
            <w:r>
              <w:rPr>
                <w:rFonts w:ascii="Montserrat" w:hAnsi="Montserrat"/>
                <w:b/>
                <w:color w:val="FFFFFF"/>
                <w:sz w:val="16"/>
              </w:rPr>
              <w:t>MODELO AUTUADO PELA RFB</w:t>
            </w:r>
          </w:p>
        </w:tc>
        <w:tc>
          <w:tcPr>
            <w:tcW w:type="dxa" w:w="3628"/>
            <w:shd w:val="clear" w:fill="010860"/>
          </w:tcPr>
          <w:p>
            <w:pPr>
              <w:spacing w:after="0" w:line="269" w:lineRule="auto"/>
            </w:pPr>
            <w:r>
              <w:rPr>
                <w:rFonts w:ascii="Montserrat" w:hAnsi="Montserrat"/>
                <w:b/>
                <w:color w:val="FFFFFF"/>
                <w:sz w:val="16"/>
              </w:rPr>
              <w:t>OPERAÇÃO LUCRO ATIVO (DCF)</w:t>
            </w:r>
          </w:p>
        </w:tc>
      </w:tr>
      <w:tr>
        <w:tc>
          <w:tcPr>
            <w:tcW w:type="dxa" w:w="2041"/>
          </w:tcPr>
          <w:p>
            <w:pPr>
              <w:spacing w:after="0" w:line="269" w:lineRule="auto"/>
            </w:pPr>
            <w:r>
              <w:rPr>
                <w:rFonts w:ascii="Inter" w:hAnsi="Inter"/>
                <w:b/>
                <w:color w:val="010860"/>
                <w:sz w:val="17"/>
              </w:rPr>
              <w:t>Natureza do ativo</w:t>
            </w:r>
          </w:p>
        </w:tc>
        <w:tc>
          <w:tcPr>
            <w:tcW w:type="dxa" w:w="3628"/>
          </w:tcPr>
          <w:p>
            <w:pPr>
              <w:spacing w:after="0" w:line="269" w:lineRule="auto"/>
            </w:pPr>
            <w:r>
              <w:rPr>
                <w:rFonts w:ascii="Inter" w:hAnsi="Inter"/>
                <w:color w:val="A31B1B"/>
                <w:sz w:val="17"/>
              </w:rPr>
              <w:t>Crédito de natureza tributária de terceiro</w:t>
            </w:r>
          </w:p>
        </w:tc>
        <w:tc>
          <w:tcPr>
            <w:tcW w:type="dxa" w:w="3628"/>
          </w:tcPr>
          <w:p>
            <w:pPr>
              <w:spacing w:after="0" w:line="269" w:lineRule="auto"/>
            </w:pPr>
            <w:r>
              <w:rPr>
                <w:rFonts w:ascii="Inter" w:hAnsi="Inter"/>
                <w:color w:val="1B5E3A"/>
                <w:sz w:val="17"/>
              </w:rPr>
              <w:t>Direito creditório de natureza civil contra a União</w:t>
            </w:r>
          </w:p>
        </w:tc>
      </w:tr>
      <w:tr>
        <w:tc>
          <w:tcPr>
            <w:tcW w:type="dxa" w:w="2041"/>
            <w:shd w:val="clear" w:fill="F5F7FC"/>
          </w:tcPr>
          <w:p>
            <w:pPr>
              <w:spacing w:after="0" w:line="269" w:lineRule="auto"/>
            </w:pPr>
            <w:r>
              <w:rPr>
                <w:rFonts w:ascii="Inter" w:hAnsi="Inter"/>
                <w:b/>
                <w:color w:val="010860"/>
                <w:sz w:val="17"/>
              </w:rPr>
              <w:t>Maturidade do crédito</w:t>
            </w:r>
          </w:p>
        </w:tc>
        <w:tc>
          <w:tcPr>
            <w:tcW w:type="dxa" w:w="3628"/>
            <w:shd w:val="clear" w:fill="F5F7FC"/>
          </w:tcPr>
          <w:p>
            <w:pPr>
              <w:spacing w:after="0" w:line="269" w:lineRule="auto"/>
            </w:pPr>
            <w:r>
              <w:rPr>
                <w:rFonts w:ascii="Inter" w:hAnsi="Inter"/>
                <w:color w:val="A31B1B"/>
                <w:sz w:val="17"/>
              </w:rPr>
              <w:t>Laudo e/ou decisão sem trânsito em julgado</w:t>
            </w:r>
          </w:p>
        </w:tc>
        <w:tc>
          <w:tcPr>
            <w:tcW w:type="dxa" w:w="3628"/>
            <w:shd w:val="clear" w:fill="F5F7FC"/>
          </w:tcPr>
          <w:p>
            <w:pPr>
              <w:spacing w:after="0" w:line="269" w:lineRule="auto"/>
            </w:pPr>
            <w:r>
              <w:rPr>
                <w:rFonts w:ascii="Inter" w:hAnsi="Inter"/>
                <w:color w:val="1B5E3A"/>
                <w:sz w:val="17"/>
              </w:rPr>
              <w:t>Decisão judicial transitada em julgado</w:t>
            </w:r>
          </w:p>
        </w:tc>
      </w:tr>
      <w:tr>
        <w:tc>
          <w:tcPr>
            <w:tcW w:type="dxa" w:w="2041"/>
          </w:tcPr>
          <w:p>
            <w:pPr>
              <w:spacing w:after="0" w:line="269" w:lineRule="auto"/>
            </w:pPr>
            <w:r>
              <w:rPr>
                <w:rFonts w:ascii="Inter" w:hAnsi="Inter"/>
                <w:b/>
                <w:color w:val="010860"/>
                <w:sz w:val="17"/>
              </w:rPr>
              <w:t>Titularidade no momento do uso</w:t>
            </w:r>
          </w:p>
        </w:tc>
        <w:tc>
          <w:tcPr>
            <w:tcW w:type="dxa" w:w="3628"/>
          </w:tcPr>
          <w:p>
            <w:pPr>
              <w:spacing w:after="0" w:line="269" w:lineRule="auto"/>
            </w:pPr>
            <w:r>
              <w:rPr>
                <w:rFonts w:ascii="Inter" w:hAnsi="Inter"/>
                <w:color w:val="A31B1B"/>
                <w:sz w:val="17"/>
              </w:rPr>
              <w:t>De terceiro — o crédito nunca foi do contribuinte</w:t>
            </w:r>
          </w:p>
        </w:tc>
        <w:tc>
          <w:tcPr>
            <w:tcW w:type="dxa" w:w="3628"/>
          </w:tcPr>
          <w:p>
            <w:pPr>
              <w:spacing w:after="0" w:line="269" w:lineRule="auto"/>
            </w:pPr>
            <w:r>
              <w:rPr>
                <w:rFonts w:ascii="Inter" w:hAnsi="Inter"/>
                <w:color w:val="1B5E3A"/>
                <w:sz w:val="17"/>
              </w:rPr>
              <w:t>Do próprio cliente — cessão e habilitação prévias (CC, arts. 286–298)</w:t>
            </w:r>
          </w:p>
        </w:tc>
      </w:tr>
      <w:tr>
        <w:tc>
          <w:tcPr>
            <w:tcW w:type="dxa" w:w="2041"/>
            <w:shd w:val="clear" w:fill="F5F7FC"/>
          </w:tcPr>
          <w:p>
            <w:pPr>
              <w:spacing w:after="0" w:line="269" w:lineRule="auto"/>
            </w:pPr>
            <w:r>
              <w:rPr>
                <w:rFonts w:ascii="Inter" w:hAnsi="Inter"/>
                <w:b/>
                <w:color w:val="010860"/>
                <w:sz w:val="17"/>
              </w:rPr>
              <w:t>Fundamento invocado</w:t>
            </w:r>
          </w:p>
        </w:tc>
        <w:tc>
          <w:tcPr>
            <w:tcW w:type="dxa" w:w="3628"/>
            <w:shd w:val="clear" w:fill="F5F7FC"/>
          </w:tcPr>
          <w:p>
            <w:pPr>
              <w:spacing w:after="0" w:line="269" w:lineRule="auto"/>
            </w:pPr>
            <w:r>
              <w:rPr>
                <w:rFonts w:ascii="Inter" w:hAnsi="Inter"/>
                <w:color w:val="A31B1B"/>
                <w:sz w:val="17"/>
              </w:rPr>
              <w:t>Art. 74 da Lei nº 9.430/1996 — rito vedado ao crédito alheio (§12, II, "a")</w:t>
            </w:r>
          </w:p>
        </w:tc>
        <w:tc>
          <w:tcPr>
            <w:tcW w:type="dxa" w:w="3628"/>
            <w:shd w:val="clear" w:fill="F5F7FC"/>
          </w:tcPr>
          <w:p>
            <w:pPr>
              <w:spacing w:after="0" w:line="269" w:lineRule="auto"/>
            </w:pPr>
            <w:r>
              <w:rPr>
                <w:rFonts w:ascii="Inter" w:hAnsi="Inter"/>
                <w:color w:val="1B5E3A"/>
                <w:sz w:val="17"/>
              </w:rPr>
              <w:t>Art. 100, §11, da CF (EC nº 113/2021) e regulamentação aplicável</w:t>
            </w:r>
          </w:p>
        </w:tc>
      </w:tr>
      <w:tr>
        <w:tc>
          <w:tcPr>
            <w:tcW w:type="dxa" w:w="2041"/>
          </w:tcPr>
          <w:p>
            <w:pPr>
              <w:spacing w:after="0" w:line="269" w:lineRule="auto"/>
            </w:pPr>
            <w:r>
              <w:rPr>
                <w:rFonts w:ascii="Inter" w:hAnsi="Inter"/>
                <w:b/>
                <w:color w:val="010860"/>
                <w:sz w:val="17"/>
              </w:rPr>
              <w:t>Papel da escritura pública</w:t>
            </w:r>
          </w:p>
        </w:tc>
        <w:tc>
          <w:tcPr>
            <w:tcW w:type="dxa" w:w="3628"/>
          </w:tcPr>
          <w:p>
            <w:pPr>
              <w:spacing w:after="0" w:line="269" w:lineRule="auto"/>
            </w:pPr>
            <w:r>
              <w:rPr>
                <w:rFonts w:ascii="Inter" w:hAnsi="Inter"/>
                <w:color w:val="A31B1B"/>
                <w:sz w:val="17"/>
              </w:rPr>
              <w:t>Aparência de solidez — não valida o crédito</w:t>
            </w:r>
          </w:p>
        </w:tc>
        <w:tc>
          <w:tcPr>
            <w:tcW w:type="dxa" w:w="3628"/>
          </w:tcPr>
          <w:p>
            <w:pPr>
              <w:spacing w:after="0" w:line="269" w:lineRule="auto"/>
            </w:pPr>
            <w:r>
              <w:rPr>
                <w:rFonts w:ascii="Inter" w:hAnsi="Inter"/>
                <w:color w:val="1B5E3A"/>
                <w:sz w:val="17"/>
              </w:rPr>
              <w:t>Forma e publicidade da cessão — não é o fundamento, é o instrumento</w:t>
            </w:r>
          </w:p>
        </w:tc>
      </w:tr>
      <w:tr>
        <w:tc>
          <w:tcPr>
            <w:tcW w:type="dxa" w:w="2041"/>
            <w:shd w:val="clear" w:fill="F5F7FC"/>
          </w:tcPr>
          <w:p>
            <w:pPr>
              <w:spacing w:after="0" w:line="269" w:lineRule="auto"/>
            </w:pPr>
            <w:r>
              <w:rPr>
                <w:rFonts w:ascii="Inter" w:hAnsi="Inter"/>
                <w:b/>
                <w:color w:val="010860"/>
                <w:sz w:val="17"/>
              </w:rPr>
              <w:t>Quem conduz</w:t>
            </w:r>
          </w:p>
        </w:tc>
        <w:tc>
          <w:tcPr>
            <w:tcW w:type="dxa" w:w="3628"/>
            <w:shd w:val="clear" w:fill="F5F7FC"/>
          </w:tcPr>
          <w:p>
            <w:pPr>
              <w:spacing w:after="0" w:line="269" w:lineRule="auto"/>
            </w:pPr>
            <w:r>
              <w:rPr>
                <w:rFonts w:ascii="Inter" w:hAnsi="Inter"/>
                <w:color w:val="A31B1B"/>
                <w:sz w:val="17"/>
              </w:rPr>
              <w:t>Consultoria, com laudo e "decisão favorável"</w:t>
            </w:r>
          </w:p>
        </w:tc>
        <w:tc>
          <w:tcPr>
            <w:tcW w:type="dxa" w:w="3628"/>
            <w:shd w:val="clear" w:fill="F5F7FC"/>
          </w:tcPr>
          <w:p>
            <w:pPr>
              <w:spacing w:after="0" w:line="269" w:lineRule="auto"/>
            </w:pPr>
            <w:r>
              <w:rPr>
                <w:rFonts w:ascii="Inter" w:hAnsi="Inter"/>
                <w:color w:val="1B5E3A"/>
                <w:sz w:val="17"/>
              </w:rPr>
              <w:t>Escritório de advocacia, com parecer de viabilidade caso a caso</w:t>
            </w:r>
          </w:p>
        </w:tc>
      </w:tr>
      <w:tr>
        <w:tc>
          <w:tcPr>
            <w:tcW w:type="dxa" w:w="2041"/>
          </w:tcPr>
          <w:p>
            <w:pPr>
              <w:spacing w:after="0" w:line="269" w:lineRule="auto"/>
            </w:pPr>
            <w:r>
              <w:rPr>
                <w:rFonts w:ascii="Inter" w:hAnsi="Inter"/>
                <w:b/>
                <w:color w:val="010860"/>
                <w:sz w:val="17"/>
              </w:rPr>
              <w:t>Desfecho típico</w:t>
            </w:r>
          </w:p>
        </w:tc>
        <w:tc>
          <w:tcPr>
            <w:tcW w:type="dxa" w:w="3628"/>
          </w:tcPr>
          <w:p>
            <w:pPr>
              <w:spacing w:after="0" w:line="269" w:lineRule="auto"/>
            </w:pPr>
            <w:r>
              <w:rPr>
                <w:rFonts w:ascii="Inter" w:hAnsi="Inter"/>
                <w:color w:val="A31B1B"/>
                <w:sz w:val="17"/>
              </w:rPr>
              <w:t>Compensação não declarada, multa isolada, multa qualificada e representação penal</w:t>
            </w:r>
          </w:p>
        </w:tc>
        <w:tc>
          <w:tcPr>
            <w:tcW w:type="dxa" w:w="3628"/>
          </w:tcPr>
          <w:p>
            <w:pPr>
              <w:spacing w:after="0" w:line="269" w:lineRule="auto"/>
            </w:pPr>
            <w:r>
              <w:rPr>
                <w:rFonts w:ascii="Inter" w:hAnsi="Inter"/>
                <w:color w:val="1B5E3A"/>
                <w:sz w:val="17"/>
              </w:rPr>
              <w:t>Compensação declarada e rastreável, com débito extinto na forma da lei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sz="8" w:space="4" w:color="C9A227"/>
        </w:pBdr>
      </w:pPr>
      <w:r>
        <w:rPr>
          <w:rFonts w:ascii="Montserrat" w:hAnsi="Montserrat"/>
          <w:b/>
          <w:color w:val="8A6D0D"/>
          <w:sz w:val="28"/>
        </w:rPr>
        <w:t xml:space="preserve">7.  </w:t>
      </w:r>
      <w:r>
        <w:rPr>
          <w:rFonts w:ascii="Montserrat" w:hAnsi="Montserrat"/>
          <w:b/>
          <w:color w:val="010860"/>
          <w:sz w:val="28"/>
        </w:rPr>
        <w:t>SÍNTESE PARA USO COMERCIAL</w:t>
      </w:r>
    </w:p>
    <w:p>
      <w:pPr>
        <w:spacing w:after="160"/>
        <w:jc w:val="both"/>
      </w:pPr>
      <w:r>
        <w:rPr>
          <w:rFonts w:ascii="Inter" w:hAnsi="Inter"/>
          <w:sz w:val="20"/>
        </w:rPr>
        <w:t xml:space="preserve">Quando o cliente ou o seu assessor levantar a objeção, o executivo </w:t>
      </w:r>
      <w:r>
        <w:rPr>
          <w:rFonts w:ascii="Inter" w:hAnsi="Inter"/>
          <w:b/>
          <w:color w:val="010860"/>
          <w:sz w:val="20"/>
        </w:rPr>
        <w:t>não deve desviar do assunto</w:t>
      </w:r>
      <w:r>
        <w:rPr>
          <w:rFonts w:ascii="Inter" w:hAnsi="Inter"/>
          <w:sz w:val="20"/>
        </w:rPr>
        <w:t>: quem explica a diferença primeiro conquista a mesa; quem é surpreendido pelo tema parece estar se defendendo. Redação sugerida, alinhada a esta nota: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30" w:type="dxa"/>
          <w:left w:w="170" w:type="dxa"/>
          <w:bottom w:w="130" w:type="dxa"/>
          <w:right w:w="150" w:type="dxa"/>
        </w:tblCellMar>
      </w:tblPr>
      <w:tblGrid>
        <w:gridCol w:w="9298"/>
      </w:tblGrid>
      <w:tr>
        <w:tc>
          <w:tcPr>
            <w:tcW w:type="dxa" w:w="9298"/>
            <w:shd w:val="clear" w:fill="FBF7EA"/>
            <w:tcBorders>
              <w:left w:val="single" w:sz="18" w:color="C9A227"/>
            </w:tcBorders>
          </w:tcPr>
          <w:p>
            <w:pPr>
              <w:spacing w:after="80"/>
              <w:jc w:val="both"/>
            </w:pPr>
            <w:r>
              <w:rPr>
                <w:rFonts w:ascii="Inter" w:hAnsi="Inter"/>
                <w:i/>
                <w:color w:val="141414"/>
                <w:sz w:val="19"/>
              </w:rPr>
              <w:t>"A pergunta não é ‘pode usar crédito de terceiro?’. A pergunta é qual crédito, em que momento e por qual porta. Crédito tributário de terceiro, depois da confissão do débito, pela porta do art. 74 da Lei 9.430 — isso é vedado, e é isso que está sendo autuado. Direito creditório civil, com trânsito em julgado, transferido e habilitado em nome da empresa antes da compensação, com fundamento no art. 100, §11, da Constituição — é outra operação. O que muda não é a aparência: é a natureza do ativo e o marco temporal da titularidade. Se fizer sentido, encaminho a nota técnica com as âncoras normativas para o seu jurídico analisar antes de qualquer decisão."</w:t>
            </w:r>
          </w:p>
          <w:p>
            <w:pPr>
              <w:spacing w:after="0"/>
            </w:pPr>
            <w:r>
              <w:rPr>
                <w:rFonts w:ascii="Montserrat" w:hAnsi="Montserrat"/>
                <w:b/>
                <w:color w:val="8A6D0D"/>
                <w:sz w:val="16"/>
              </w:rPr>
              <w:t>Roteiro de resposta — uso em reunião</w:t>
            </w:r>
          </w:p>
        </w:tc>
      </w:tr>
    </w:tbl>
    <w:p>
      <w:pPr>
        <w:spacing w:after="80"/>
      </w:pPr>
    </w:p>
    <w:p>
      <w:pPr>
        <w:pStyle w:val="ListBullet"/>
        <w:jc w:val="both"/>
      </w:pPr>
      <w:r>
        <w:rPr>
          <w:rFonts w:ascii="Inter" w:hAnsi="Inter"/>
          <w:b/>
          <w:color w:val="010860"/>
          <w:sz w:val="20"/>
        </w:rPr>
        <w:t>Nunca dizer</w:t>
      </w:r>
      <w:r>
        <w:rPr>
          <w:rFonts w:ascii="Inter" w:hAnsi="Inter"/>
          <w:sz w:val="20"/>
        </w:rPr>
        <w:t xml:space="preserve"> "operação sem risco", "risco zero" ou "total segurança jurídica". É a promessa absoluta que caracteriza o discurso que estamos justamente contrapondo.</w:t>
      </w:r>
    </w:p>
    <w:p>
      <w:pPr>
        <w:pStyle w:val="ListBullet"/>
        <w:jc w:val="both"/>
      </w:pPr>
      <w:r>
        <w:rPr>
          <w:rFonts w:ascii="Inter" w:hAnsi="Inter"/>
          <w:b/>
          <w:color w:val="010860"/>
          <w:sz w:val="20"/>
        </w:rPr>
        <w:t>Nunca citar</w:t>
      </w:r>
      <w:r>
        <w:rPr>
          <w:rFonts w:ascii="Inter" w:hAnsi="Inter"/>
          <w:sz w:val="20"/>
        </w:rPr>
        <w:t xml:space="preserve"> o art. 74 da Lei nº 9.430/1996 como fundamento da operação — ele é citado apenas para demonstrar o que a operação </w:t>
      </w:r>
      <w:r>
        <w:rPr>
          <w:rFonts w:ascii="Inter" w:hAnsi="Inter"/>
          <w:b/>
          <w:color w:val="010860"/>
          <w:sz w:val="20"/>
        </w:rPr>
        <w:t>não</w:t>
      </w:r>
      <w:r>
        <w:rPr>
          <w:rFonts w:ascii="Inter" w:hAnsi="Inter"/>
          <w:sz w:val="20"/>
        </w:rPr>
        <w:t xml:space="preserve"> é.</w:t>
      </w:r>
    </w:p>
    <w:p>
      <w:pPr>
        <w:pStyle w:val="ListBullet"/>
        <w:jc w:val="both"/>
      </w:pPr>
      <w:r>
        <w:rPr>
          <w:rFonts w:ascii="Inter" w:hAnsi="Inter"/>
          <w:b/>
          <w:color w:val="010860"/>
          <w:sz w:val="20"/>
        </w:rPr>
        <w:t>Sempre oferecer</w:t>
      </w:r>
      <w:r>
        <w:rPr>
          <w:rFonts w:ascii="Inter" w:hAnsi="Inter"/>
          <w:sz w:val="20"/>
        </w:rPr>
        <w:t xml:space="preserve"> esta nota ao assessor do cliente. O convite à análise técnica de terceiro é, em si, um argumento de segurança.</w:t>
      </w:r>
    </w:p>
    <w:p>
      <w:pPr>
        <w:pStyle w:val="Heading1"/>
        <w:pBdr>
          <w:bottom w:val="single" w:sz="8" w:space="4" w:color="C9A227"/>
        </w:pBdr>
      </w:pPr>
      <w:r>
        <w:rPr>
          <w:rFonts w:ascii="Montserrat" w:hAnsi="Montserrat"/>
          <w:b/>
          <w:color w:val="8A6D0D"/>
          <w:sz w:val="28"/>
        </w:rPr>
        <w:t xml:space="preserve">8.  </w:t>
      </w:r>
      <w:r>
        <w:rPr>
          <w:rFonts w:ascii="Montserrat" w:hAnsi="Montserrat"/>
          <w:b/>
          <w:color w:val="010860"/>
          <w:sz w:val="28"/>
        </w:rPr>
        <w:t>PONTOS PENDENTES DE PARECER CONCLUSIVO</w:t>
      </w:r>
    </w:p>
    <w:p>
      <w:pPr>
        <w:spacing w:after="120"/>
        <w:jc w:val="both"/>
      </w:pPr>
      <w:r>
        <w:rPr>
          <w:rFonts w:ascii="Inter" w:hAnsi="Inter"/>
          <w:sz w:val="20"/>
        </w:rPr>
        <w:t xml:space="preserve">Registram-se, com transparência, três questões que </w:t>
      </w:r>
      <w:r>
        <w:rPr>
          <w:rFonts w:ascii="Inter" w:hAnsi="Inter"/>
          <w:b/>
          <w:color w:val="010860"/>
          <w:sz w:val="20"/>
        </w:rPr>
        <w:t>precisam de posição formal da Diretoria Jurídica</w:t>
      </w:r>
      <w:r>
        <w:rPr>
          <w:rFonts w:ascii="Inter" w:hAnsi="Inter"/>
          <w:sz w:val="20"/>
        </w:rPr>
        <w:t xml:space="preserve"> antes de incorporação definitiva ao discurso comercial. Duas delas divergem de afirmações já feitas em capacitação interna.</w:t>
      </w:r>
    </w:p>
    <w:p>
      <w:pPr>
        <w:pStyle w:val="Heading2"/>
      </w:pPr>
      <w:r>
        <w:rPr>
          <w:rFonts w:ascii="Montserrat" w:hAnsi="Montserrat"/>
          <w:b/>
          <w:color w:val="A31B1B"/>
          <w:sz w:val="18"/>
        </w:rPr>
        <w:t xml:space="preserve">8.1  ▪ CRÍTICO  </w:t>
      </w:r>
      <w:r>
        <w:rPr>
          <w:rFonts w:ascii="Montserrat" w:hAnsi="Montserrat"/>
          <w:color w:val="010860"/>
          <w:sz w:val="23"/>
        </w:rPr>
        <w:t xml:space="preserve">  as ADIs 7.047 e 7.064 restringiram a autoaplicabilidade do §11</w:t>
      </w:r>
    </w:p>
    <w:p>
      <w:pPr>
        <w:spacing w:after="120"/>
        <w:jc w:val="both"/>
      </w:pPr>
      <w:r>
        <w:rPr>
          <w:rFonts w:ascii="Inter" w:hAnsi="Inter"/>
          <w:sz w:val="20"/>
        </w:rPr>
        <w:t xml:space="preserve">Consta de capacitação interna a afirmação de que "após ADI caiu a expressão que limitava a aplicabilidade" do art. 100, §11. O julgado tem sentido </w:t>
      </w:r>
      <w:r>
        <w:rPr>
          <w:rFonts w:ascii="Inter" w:hAnsi="Inter"/>
          <w:b/>
          <w:color w:val="010860"/>
          <w:sz w:val="20"/>
        </w:rPr>
        <w:t>oposto</w:t>
      </w:r>
      <w:r>
        <w:rPr>
          <w:rFonts w:ascii="Inter" w:hAnsi="Inter"/>
          <w:sz w:val="20"/>
        </w:rPr>
        <w:t xml:space="preserve">: em 30/11/2023 (publicação em 18/12/2023), o STF conferiu </w:t>
      </w:r>
      <w:r>
        <w:rPr>
          <w:rFonts w:ascii="Inter" w:hAnsi="Inter"/>
          <w:b/>
          <w:color w:val="010860"/>
          <w:sz w:val="20"/>
        </w:rPr>
        <w:t>interpretação conforme</w:t>
      </w:r>
      <w:r>
        <w:rPr>
          <w:rFonts w:ascii="Inter" w:hAnsi="Inter"/>
          <w:sz w:val="20"/>
        </w:rPr>
        <w:t xml:space="preserve"> ao dispositivo para </w:t>
      </w:r>
      <w:r>
        <w:rPr>
          <w:rFonts w:ascii="Inter" w:hAnsi="Inter"/>
          <w:b/>
          <w:color w:val="010860"/>
          <w:sz w:val="20"/>
        </w:rPr>
        <w:t>excluir a expressão "com autoaplicabilidade para a União"</w:t>
      </w:r>
      <w:r>
        <w:rPr>
          <w:rFonts w:ascii="Inter" w:hAnsi="Inter"/>
          <w:sz w:val="20"/>
        </w:rPr>
        <w:t xml:space="preserve">. O §11 permanece válido e constitucional, mas o seu uso perante a União </w:t>
      </w:r>
      <w:r>
        <w:rPr>
          <w:rFonts w:ascii="Inter" w:hAnsi="Inter"/>
          <w:b/>
          <w:color w:val="010860"/>
          <w:sz w:val="20"/>
        </w:rPr>
        <w:t>passou a depender de regulamentação</w:t>
      </w:r>
      <w:r>
        <w:rPr>
          <w:rFonts w:ascii="Inter" w:hAnsi="Inter"/>
          <w:sz w:val="20"/>
        </w:rPr>
        <w:t xml:space="preserve"> — não é automático (vencido o Min. André Mendonça). </w:t>
      </w:r>
      <w:r>
        <w:rPr>
          <w:rFonts w:ascii="Inter" w:hAnsi="Inter"/>
          <w:b/>
          <w:color w:val="010860"/>
          <w:sz w:val="20"/>
        </w:rPr>
        <w:t>Ação:</w:t>
      </w:r>
      <w:r>
        <w:rPr>
          <w:rFonts w:ascii="Inter" w:hAnsi="Inter"/>
          <w:sz w:val="20"/>
        </w:rPr>
        <w:t xml:space="preserve"> corrigir o enunciado antes da próxima capacitação. Se o assessor do cliente conhecer o julgado e o executivo estiver sustentando o contrário, a credibilidade da reunião se perde por completo.</w:t>
      </w:r>
    </w:p>
    <w:p>
      <w:pPr>
        <w:pStyle w:val="Heading2"/>
      </w:pPr>
      <w:r>
        <w:rPr>
          <w:rFonts w:ascii="Montserrat" w:hAnsi="Montserrat"/>
          <w:b/>
          <w:color w:val="A31B1B"/>
          <w:sz w:val="18"/>
        </w:rPr>
        <w:t xml:space="preserve">8.2  ▪ CRÍTICO  </w:t>
      </w:r>
      <w:r>
        <w:rPr>
          <w:rFonts w:ascii="Montserrat" w:hAnsi="Montserrat"/>
          <w:color w:val="010860"/>
          <w:sz w:val="23"/>
        </w:rPr>
        <w:t xml:space="preserve">  a regulamentação existente alcança dívida ativa, não débito vincendo</w:t>
      </w:r>
    </w:p>
    <w:p>
      <w:pPr>
        <w:spacing w:after="120"/>
        <w:jc w:val="both"/>
      </w:pPr>
      <w:r>
        <w:rPr>
          <w:rFonts w:ascii="Inter" w:hAnsi="Inter"/>
          <w:sz w:val="20"/>
        </w:rPr>
        <w:t xml:space="preserve">Os atos que regulamentam o §11 na esfera federal — </w:t>
      </w:r>
      <w:r>
        <w:rPr>
          <w:rFonts w:ascii="Inter" w:hAnsi="Inter"/>
          <w:b/>
          <w:color w:val="010860"/>
          <w:sz w:val="20"/>
        </w:rPr>
        <w:t>Decreto nº 11.249/2022</w:t>
      </w:r>
      <w:r>
        <w:rPr>
          <w:rFonts w:ascii="Inter" w:hAnsi="Inter"/>
          <w:sz w:val="20"/>
        </w:rPr>
        <w:t xml:space="preserve"> e </w:t>
      </w:r>
      <w:r>
        <w:rPr>
          <w:rFonts w:ascii="Inter" w:hAnsi="Inter"/>
          <w:b/>
          <w:color w:val="010860"/>
          <w:sz w:val="20"/>
        </w:rPr>
        <w:t>Portaria PGFN nº 10.826/2022</w:t>
      </w:r>
      <w:r>
        <w:rPr>
          <w:rFonts w:ascii="Inter" w:hAnsi="Inter"/>
          <w:sz w:val="20"/>
        </w:rPr>
        <w:t xml:space="preserve"> — tratam de </w:t>
      </w:r>
      <w:r>
        <w:rPr>
          <w:rFonts w:ascii="Inter" w:hAnsi="Inter"/>
          <w:b/>
          <w:color w:val="010860"/>
          <w:sz w:val="20"/>
        </w:rPr>
        <w:t>débitos inscritos em dívida ativa da União</w:t>
      </w:r>
      <w:r>
        <w:rPr>
          <w:rFonts w:ascii="Inter" w:hAnsi="Inter"/>
          <w:sz w:val="20"/>
        </w:rPr>
        <w:t xml:space="preserve">, o que é coerente com a literalidade do inciso I do §11 ("débitos parcelados ou inscritos em dívida ativa [...] e, subsidiariamente, débitos com a administração autárquica e fundacional"). </w:t>
      </w:r>
      <w:r>
        <w:rPr>
          <w:rFonts w:ascii="Inter" w:hAnsi="Inter"/>
          <w:b/>
          <w:color w:val="010860"/>
          <w:sz w:val="20"/>
        </w:rPr>
        <w:t>Não se localizou ato equivalente da RFB para débitos correntes/vincendos</w:t>
      </w:r>
      <w:r>
        <w:rPr>
          <w:rFonts w:ascii="Inter" w:hAnsi="Inter"/>
          <w:sz w:val="20"/>
        </w:rPr>
        <w:t xml:space="preserve"> — que constituem o carro-chefe comercial. A operação tem sustentação, mas trata-se de </w:t>
      </w:r>
      <w:r>
        <w:rPr>
          <w:rFonts w:ascii="Inter" w:hAnsi="Inter"/>
          <w:b/>
          <w:color w:val="010860"/>
          <w:sz w:val="20"/>
        </w:rPr>
        <w:t>construção sobre lacuna regulamentar</w:t>
      </w:r>
      <w:r>
        <w:rPr>
          <w:rFonts w:ascii="Inter" w:hAnsi="Inter"/>
          <w:sz w:val="20"/>
        </w:rPr>
        <w:t xml:space="preserve">, e não de rito expressamente normatizado. </w:t>
      </w:r>
      <w:r>
        <w:rPr>
          <w:rFonts w:ascii="Inter" w:hAnsi="Inter"/>
          <w:b/>
          <w:color w:val="010860"/>
          <w:sz w:val="20"/>
        </w:rPr>
        <w:t>Ação:</w:t>
      </w:r>
      <w:r>
        <w:rPr>
          <w:rFonts w:ascii="Inter" w:hAnsi="Inter"/>
          <w:sz w:val="20"/>
        </w:rPr>
        <w:t xml:space="preserve"> definir a âncora exata do enquadramento dos débitos vincendos. Até que exista, o material comercial </w:t>
      </w:r>
      <w:r>
        <w:rPr>
          <w:rFonts w:ascii="Inter" w:hAnsi="Inter"/>
          <w:b/>
          <w:color w:val="010860"/>
          <w:sz w:val="20"/>
        </w:rPr>
        <w:t>não pode afirmar</w:t>
      </w:r>
      <w:r>
        <w:rPr>
          <w:rFonts w:ascii="Inter" w:hAnsi="Inter"/>
          <w:sz w:val="20"/>
        </w:rPr>
        <w:t xml:space="preserve"> que "está tudo regulamentado".</w:t>
      </w:r>
    </w:p>
    <w:p>
      <w:pPr>
        <w:pStyle w:val="Heading2"/>
      </w:pPr>
      <w:r>
        <w:rPr>
          <w:rFonts w:ascii="Montserrat" w:hAnsi="Montserrat"/>
          <w:b/>
          <w:color w:val="8A6D0D"/>
          <w:sz w:val="18"/>
        </w:rPr>
        <w:t xml:space="preserve">8.3  ▪ ATENÇÃO  </w:t>
      </w:r>
      <w:r>
        <w:rPr>
          <w:rFonts w:ascii="Montserrat" w:hAnsi="Montserrat"/>
          <w:color w:val="010860"/>
          <w:sz w:val="23"/>
        </w:rPr>
        <w:t xml:space="preserve">  360 dias não produz homologação tácita</w:t>
      </w:r>
    </w:p>
    <w:p>
      <w:pPr>
        <w:spacing w:after="120"/>
        <w:jc w:val="both"/>
      </w:pPr>
      <w:r>
        <w:rPr>
          <w:rFonts w:ascii="Inter" w:hAnsi="Inter"/>
          <w:sz w:val="20"/>
        </w:rPr>
        <w:t xml:space="preserve">O </w:t>
      </w:r>
      <w:r>
        <w:rPr>
          <w:rFonts w:ascii="Inter" w:hAnsi="Inter"/>
          <w:b/>
          <w:color w:val="010860"/>
          <w:sz w:val="20"/>
        </w:rPr>
        <w:t>art. 24 da Lei nº 11.457/2007</w:t>
      </w:r>
      <w:r>
        <w:rPr>
          <w:rFonts w:ascii="Inter" w:hAnsi="Inter"/>
          <w:sz w:val="20"/>
        </w:rPr>
        <w:t xml:space="preserve"> concede à administração o prazo de 360 dias para </w:t>
      </w:r>
      <w:r>
        <w:rPr>
          <w:rFonts w:ascii="Inter" w:hAnsi="Inter"/>
          <w:b/>
          <w:color w:val="010860"/>
          <w:sz w:val="20"/>
        </w:rPr>
        <w:t>proferir decisão</w:t>
      </w:r>
      <w:r>
        <w:rPr>
          <w:rFonts w:ascii="Inter" w:hAnsi="Inter"/>
          <w:sz w:val="20"/>
        </w:rPr>
        <w:t xml:space="preserve"> em petição, defesa ou recurso do contribuinte. O descumprimento caracteriza mora e autoriza a via do mandado de segurança, mas </w:t>
      </w:r>
      <w:r>
        <w:rPr>
          <w:rFonts w:ascii="Inter" w:hAnsi="Inter"/>
          <w:b/>
          <w:color w:val="010860"/>
          <w:sz w:val="20"/>
        </w:rPr>
        <w:t>não gera deferimento automático</w:t>
      </w:r>
      <w:r>
        <w:rPr>
          <w:rFonts w:ascii="Inter" w:hAnsi="Inter"/>
          <w:sz w:val="20"/>
        </w:rPr>
        <w:t xml:space="preserve">. A homologação tácita de </w:t>
      </w:r>
      <w:r>
        <w:rPr>
          <w:rFonts w:ascii="Inter" w:hAnsi="Inter"/>
          <w:b/>
          <w:color w:val="010860"/>
          <w:sz w:val="20"/>
        </w:rPr>
        <w:t>5 anos</w:t>
      </w:r>
      <w:r>
        <w:rPr>
          <w:rFonts w:ascii="Inter" w:hAnsi="Inter"/>
          <w:sz w:val="20"/>
        </w:rPr>
        <w:t xml:space="preserve"> é do art. 74, §5º, da Lei nº 9.430/1996 — precisamente o rito do qual a operação afirma não depender. </w:t>
      </w:r>
      <w:r>
        <w:rPr>
          <w:rFonts w:ascii="Inter" w:hAnsi="Inter"/>
          <w:b/>
          <w:color w:val="010860"/>
          <w:sz w:val="20"/>
        </w:rPr>
        <w:t>Ação:</w:t>
      </w:r>
      <w:r>
        <w:rPr>
          <w:rFonts w:ascii="Inter" w:hAnsi="Inter"/>
          <w:sz w:val="20"/>
        </w:rPr>
        <w:t xml:space="preserve"> fixar a redação correta. Sustentar "silêncio equivale a homologação em 360 dias" cria passivo de expectativa perante o cliente.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9298"/>
      </w:tblGrid>
      <w:tr>
        <w:tc>
          <w:tcPr>
            <w:tcW w:type="dxa" w:w="9298"/>
            <w:shd w:val="clear" w:fill="FBF7EA"/>
            <w:tcBorders>
              <w:left w:val="single" w:sz="18" w:color="C9A227"/>
            </w:tcBorders>
          </w:tcPr>
          <w:p>
            <w:pPr>
              <w:spacing w:after="60"/>
            </w:pPr>
            <w:r>
              <w:rPr>
                <w:rFonts w:ascii="Montserrat" w:hAnsi="Montserrat"/>
                <w:b/>
                <w:color w:val="8A6D0D"/>
                <w:sz w:val="18"/>
              </w:rPr>
              <w:t>▸ NOTA DE REVISÃO DE MATERIAL</w:t>
            </w:r>
          </w:p>
          <w:p>
            <w:pPr>
              <w:spacing w:after="0"/>
              <w:jc w:val="both"/>
            </w:pPr>
            <w:r>
              <w:rPr>
                <w:rFonts w:ascii="Inter" w:hAnsi="Inter"/>
                <w:sz w:val="19"/>
              </w:rPr>
              <w:t xml:space="preserve">Em transcrição de capacitação interna constam as referências "Lei 9.340/95" e "Emenda Constitucional 103", quando o correto é </w:t>
            </w:r>
            <w:r>
              <w:rPr>
                <w:rFonts w:ascii="Inter" w:hAnsi="Inter"/>
                <w:b/>
                <w:color w:val="010860"/>
                <w:sz w:val="19"/>
              </w:rPr>
              <w:t>Lei nº 9.430/1996</w:t>
            </w:r>
            <w:r>
              <w:rPr>
                <w:rFonts w:ascii="Inter" w:hAnsi="Inter"/>
                <w:sz w:val="19"/>
              </w:rPr>
              <w:t xml:space="preserve"> e </w:t>
            </w:r>
            <w:r>
              <w:rPr>
                <w:rFonts w:ascii="Inter" w:hAnsi="Inter"/>
                <w:b/>
                <w:color w:val="010860"/>
                <w:sz w:val="19"/>
              </w:rPr>
              <w:t>EC nº 113/2021</w:t>
            </w:r>
            <w:r>
              <w:rPr>
                <w:rFonts w:ascii="Inter" w:hAnsi="Inter"/>
                <w:sz w:val="19"/>
              </w:rPr>
              <w:t>. Caso a gravação venha a integrar o acervo de treinamento, os dois pontos exigem legenda de correção.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8" w:space="4" w:color="C9A227"/>
        </w:pBdr>
      </w:pPr>
      <w:r>
        <w:rPr>
          <w:rFonts w:ascii="Montserrat" w:hAnsi="Montserrat"/>
          <w:b/>
          <w:color w:val="8A6D0D"/>
          <w:sz w:val="28"/>
        </w:rPr>
        <w:t xml:space="preserve">9.  </w:t>
      </w:r>
      <w:r>
        <w:rPr>
          <w:rFonts w:ascii="Montserrat" w:hAnsi="Montserrat"/>
          <w:b/>
          <w:color w:val="010860"/>
          <w:sz w:val="28"/>
        </w:rPr>
        <w:t>BASE NORMATIVA E JURISPRUDENCIAL DE REFERÊNCIA</w:t>
      </w:r>
    </w:p>
    <w:p>
      <w:pPr>
        <w:pStyle w:val="ListBullet"/>
        <w:jc w:val="both"/>
      </w:pPr>
      <w:r>
        <w:rPr>
          <w:rFonts w:ascii="Inter" w:hAnsi="Inter"/>
          <w:b/>
          <w:color w:val="010860"/>
          <w:sz w:val="20"/>
        </w:rPr>
        <w:t>Constituição Federal, art. 100, §11</w:t>
      </w:r>
      <w:r>
        <w:rPr>
          <w:rFonts w:ascii="Inter" w:hAnsi="Inter"/>
          <w:sz w:val="20"/>
        </w:rPr>
        <w:t xml:space="preserve"> — redação da EC nº 113/2021: oferta de créditos líquidos e certos, próprios ou adquiridos de terceiros, reconhecidos por decisão judicial transitada em julgado.</w:t>
      </w:r>
    </w:p>
    <w:p>
      <w:pPr>
        <w:pStyle w:val="ListBullet"/>
        <w:jc w:val="both"/>
      </w:pPr>
      <w:r>
        <w:rPr>
          <w:rFonts w:ascii="Inter" w:hAnsi="Inter"/>
          <w:b/>
          <w:color w:val="010860"/>
          <w:sz w:val="20"/>
        </w:rPr>
        <w:t>STF, ADIs 7.047 e 7.064</w:t>
      </w:r>
      <w:r>
        <w:rPr>
          <w:rFonts w:ascii="Inter" w:hAnsi="Inter"/>
          <w:sz w:val="20"/>
        </w:rPr>
        <w:t xml:space="preserve"> (j. 30/11/2023, pub. 18/12/2023) — interpretação conforme ao §11, com exclusão da expressão "com autoaplicabilidade para a União".</w:t>
      </w:r>
    </w:p>
    <w:p>
      <w:pPr>
        <w:pStyle w:val="ListBullet"/>
        <w:jc w:val="both"/>
      </w:pPr>
      <w:r>
        <w:rPr>
          <w:rFonts w:ascii="Inter" w:hAnsi="Inter"/>
          <w:b/>
          <w:color w:val="010860"/>
          <w:sz w:val="20"/>
        </w:rPr>
        <w:t>Decreto nº 11.249/2022</w:t>
      </w:r>
      <w:r>
        <w:rPr>
          <w:rFonts w:ascii="Inter" w:hAnsi="Inter"/>
          <w:sz w:val="20"/>
        </w:rPr>
        <w:t xml:space="preserve"> e </w:t>
      </w:r>
      <w:r>
        <w:rPr>
          <w:rFonts w:ascii="Inter" w:hAnsi="Inter"/>
          <w:b/>
          <w:color w:val="010860"/>
          <w:sz w:val="20"/>
        </w:rPr>
        <w:t>Portaria PGFN nº 10.826/2022</w:t>
      </w:r>
      <w:r>
        <w:rPr>
          <w:rFonts w:ascii="Inter" w:hAnsi="Inter"/>
          <w:sz w:val="20"/>
        </w:rPr>
        <w:t xml:space="preserve"> — regulamentação da utilização de créditos para quitação de débitos inscritos em dívida ativa da União.</w:t>
      </w:r>
    </w:p>
    <w:p>
      <w:pPr>
        <w:pStyle w:val="ListBullet"/>
        <w:jc w:val="both"/>
      </w:pPr>
      <w:r>
        <w:rPr>
          <w:rFonts w:ascii="Inter" w:hAnsi="Inter"/>
          <w:b/>
          <w:color w:val="010860"/>
          <w:sz w:val="20"/>
        </w:rPr>
        <w:t>Código Civil, arts. 286 a 298</w:t>
      </w:r>
      <w:r>
        <w:rPr>
          <w:rFonts w:ascii="Inter" w:hAnsi="Inter"/>
          <w:sz w:val="20"/>
        </w:rPr>
        <w:t xml:space="preserve"> — cessão de crédito; dispensa de consentimento do devedor (art. 286) e eficácia mediante notificação (art. 290).</w:t>
      </w:r>
    </w:p>
    <w:p>
      <w:pPr>
        <w:pStyle w:val="ListBullet"/>
        <w:jc w:val="both"/>
      </w:pPr>
      <w:r>
        <w:rPr>
          <w:rFonts w:ascii="Inter" w:hAnsi="Inter"/>
          <w:b/>
          <w:color w:val="010860"/>
          <w:sz w:val="20"/>
        </w:rPr>
        <w:t>CTN, arts. 156 e 170</w:t>
      </w:r>
      <w:r>
        <w:rPr>
          <w:rFonts w:ascii="Inter" w:hAnsi="Inter"/>
          <w:sz w:val="20"/>
        </w:rPr>
        <w:t xml:space="preserve"> — hipóteses de extinção do crédito tributário e exigência de lei específica para a compensação.</w:t>
      </w:r>
    </w:p>
    <w:p>
      <w:pPr>
        <w:pStyle w:val="ListBullet"/>
        <w:jc w:val="both"/>
      </w:pPr>
      <w:r>
        <w:rPr>
          <w:rFonts w:ascii="Inter" w:hAnsi="Inter"/>
          <w:b/>
          <w:color w:val="010860"/>
          <w:sz w:val="20"/>
        </w:rPr>
        <w:t>Lei nº 9.430/1996, art. 74</w:t>
      </w:r>
      <w:r>
        <w:rPr>
          <w:rFonts w:ascii="Inter" w:hAnsi="Inter"/>
          <w:sz w:val="20"/>
        </w:rPr>
        <w:t xml:space="preserve"> — rito federal de compensação; </w:t>
      </w:r>
      <w:r>
        <w:rPr>
          <w:rFonts w:ascii="Inter" w:hAnsi="Inter"/>
          <w:b/>
          <w:color w:val="010860"/>
          <w:sz w:val="20"/>
        </w:rPr>
        <w:t>§12, II, "a"</w:t>
      </w:r>
      <w:r>
        <w:rPr>
          <w:rFonts w:ascii="Inter" w:hAnsi="Inter"/>
          <w:sz w:val="20"/>
        </w:rPr>
        <w:t xml:space="preserve"> (compensação não declarada quando o crédito é de terceiro), </w:t>
      </w:r>
      <w:r>
        <w:rPr>
          <w:rFonts w:ascii="Inter" w:hAnsi="Inter"/>
          <w:b/>
          <w:color w:val="010860"/>
          <w:sz w:val="20"/>
        </w:rPr>
        <w:t>§13</w:t>
      </w:r>
      <w:r>
        <w:rPr>
          <w:rFonts w:ascii="Inter" w:hAnsi="Inter"/>
          <w:sz w:val="20"/>
        </w:rPr>
        <w:t xml:space="preserve">, </w:t>
      </w:r>
      <w:r>
        <w:rPr>
          <w:rFonts w:ascii="Inter" w:hAnsi="Inter"/>
          <w:b/>
          <w:color w:val="010860"/>
          <w:sz w:val="20"/>
        </w:rPr>
        <w:t>§17</w:t>
      </w:r>
      <w:r>
        <w:rPr>
          <w:rFonts w:ascii="Inter" w:hAnsi="Inter"/>
          <w:sz w:val="20"/>
        </w:rPr>
        <w:t xml:space="preserve"> (multa isolada de 50%) e </w:t>
      </w:r>
      <w:r>
        <w:rPr>
          <w:rFonts w:ascii="Inter" w:hAnsi="Inter"/>
          <w:b/>
          <w:color w:val="010860"/>
          <w:sz w:val="20"/>
        </w:rPr>
        <w:t>§5º</w:t>
      </w:r>
      <w:r>
        <w:rPr>
          <w:rFonts w:ascii="Inter" w:hAnsi="Inter"/>
          <w:sz w:val="20"/>
        </w:rPr>
        <w:t xml:space="preserve"> (homologação tácita em 5 anos).</w:t>
      </w:r>
    </w:p>
    <w:p>
      <w:pPr>
        <w:pStyle w:val="ListBullet"/>
        <w:jc w:val="both"/>
      </w:pPr>
      <w:r>
        <w:rPr>
          <w:rFonts w:ascii="Inter" w:hAnsi="Inter"/>
          <w:b/>
          <w:color w:val="010860"/>
          <w:sz w:val="20"/>
        </w:rPr>
        <w:t>Lei nº 9.430/1996, art. 44, §1º e §1º-A</w:t>
      </w:r>
      <w:r>
        <w:rPr>
          <w:rFonts w:ascii="Inter" w:hAnsi="Inter"/>
          <w:sz w:val="20"/>
        </w:rPr>
        <w:t xml:space="preserve">, na redação da </w:t>
      </w:r>
      <w:r>
        <w:rPr>
          <w:rFonts w:ascii="Inter" w:hAnsi="Inter"/>
          <w:b/>
          <w:color w:val="010860"/>
          <w:sz w:val="20"/>
        </w:rPr>
        <w:t>Lei nº 14.689/2023</w:t>
      </w:r>
      <w:r>
        <w:rPr>
          <w:rFonts w:ascii="Inter" w:hAnsi="Inter"/>
          <w:sz w:val="20"/>
        </w:rPr>
        <w:t xml:space="preserve"> — multa qualificada de 100%, elevada a 150% apenas em reincidência; </w:t>
      </w:r>
      <w:r>
        <w:rPr>
          <w:rFonts w:ascii="Inter" w:hAnsi="Inter"/>
          <w:b/>
          <w:color w:val="010860"/>
          <w:sz w:val="20"/>
        </w:rPr>
        <w:t>STF, Tema 863 (RE 736.090)</w:t>
      </w:r>
      <w:r>
        <w:rPr>
          <w:rFonts w:ascii="Inter" w:hAnsi="Inter"/>
          <w:sz w:val="20"/>
        </w:rPr>
        <w:t>.</w:t>
      </w:r>
    </w:p>
    <w:p>
      <w:pPr>
        <w:pStyle w:val="ListBullet"/>
        <w:jc w:val="both"/>
      </w:pPr>
      <w:r>
        <w:rPr>
          <w:rFonts w:ascii="Inter" w:hAnsi="Inter"/>
          <w:b/>
          <w:color w:val="010860"/>
          <w:sz w:val="20"/>
        </w:rPr>
        <w:t>Lei nº 9.430/1996, art. 83</w:t>
      </w:r>
      <w:r>
        <w:rPr>
          <w:rFonts w:ascii="Inter" w:hAnsi="Inter"/>
          <w:sz w:val="20"/>
        </w:rPr>
        <w:t xml:space="preserve">, c/c </w:t>
      </w:r>
      <w:r>
        <w:rPr>
          <w:rFonts w:ascii="Inter" w:hAnsi="Inter"/>
          <w:b/>
          <w:color w:val="010860"/>
          <w:sz w:val="20"/>
        </w:rPr>
        <w:t>Lei nº 8.137/1990, arts. 1º e 2º</w:t>
      </w:r>
      <w:r>
        <w:rPr>
          <w:rFonts w:ascii="Inter" w:hAnsi="Inter"/>
          <w:sz w:val="20"/>
        </w:rPr>
        <w:t xml:space="preserve"> — representação fiscal para fins penais.</w:t>
      </w:r>
    </w:p>
    <w:p>
      <w:pPr>
        <w:pStyle w:val="ListBullet"/>
        <w:jc w:val="both"/>
      </w:pPr>
      <w:r>
        <w:rPr>
          <w:rFonts w:ascii="Inter" w:hAnsi="Inter"/>
          <w:b/>
          <w:color w:val="010860"/>
          <w:sz w:val="20"/>
        </w:rPr>
        <w:t>Decreto-Lei nº 2.124/1984, art. 5º, §1º</w:t>
      </w:r>
      <w:r>
        <w:rPr>
          <w:rFonts w:ascii="Inter" w:hAnsi="Inter"/>
          <w:sz w:val="20"/>
        </w:rPr>
        <w:t xml:space="preserve"> e </w:t>
      </w:r>
      <w:r>
        <w:rPr>
          <w:rFonts w:ascii="Inter" w:hAnsi="Inter"/>
          <w:b/>
          <w:color w:val="010860"/>
          <w:sz w:val="20"/>
        </w:rPr>
        <w:t>Súmula 436 do STJ</w:t>
      </w:r>
      <w:r>
        <w:rPr>
          <w:rFonts w:ascii="Inter" w:hAnsi="Inter"/>
          <w:sz w:val="20"/>
        </w:rPr>
        <w:t xml:space="preserve"> — a declaração do contribuinte constitui o crédito tributário.</w:t>
      </w:r>
    </w:p>
    <w:p>
      <w:pPr>
        <w:pStyle w:val="ListBullet"/>
        <w:jc w:val="both"/>
      </w:pPr>
      <w:r>
        <w:rPr>
          <w:rFonts w:ascii="Inter" w:hAnsi="Inter"/>
          <w:b/>
          <w:color w:val="010860"/>
          <w:sz w:val="20"/>
        </w:rPr>
        <w:t>IN RFB nº 2.237/2024</w:t>
      </w:r>
      <w:r>
        <w:rPr>
          <w:rFonts w:ascii="Inter" w:hAnsi="Inter"/>
          <w:sz w:val="20"/>
        </w:rPr>
        <w:t xml:space="preserve">, alterada pela </w:t>
      </w:r>
      <w:r>
        <w:rPr>
          <w:rFonts w:ascii="Inter" w:hAnsi="Inter"/>
          <w:b/>
          <w:color w:val="010860"/>
          <w:sz w:val="20"/>
        </w:rPr>
        <w:t>IN RFB nº 2.248/2025</w:t>
      </w:r>
      <w:r>
        <w:rPr>
          <w:rFonts w:ascii="Inter" w:hAnsi="Inter"/>
          <w:sz w:val="20"/>
        </w:rPr>
        <w:t xml:space="preserve"> — DCTFWeb e Módulo de Inclusão de Tributos (MIT).</w:t>
      </w:r>
    </w:p>
    <w:p>
      <w:pPr>
        <w:pStyle w:val="ListBullet"/>
        <w:jc w:val="both"/>
      </w:pPr>
      <w:r>
        <w:rPr>
          <w:rFonts w:ascii="Inter" w:hAnsi="Inter"/>
          <w:b/>
          <w:color w:val="010860"/>
          <w:sz w:val="20"/>
        </w:rPr>
        <w:t>Lei nº 11.457/2007, art. 24</w:t>
      </w:r>
      <w:r>
        <w:rPr>
          <w:rFonts w:ascii="Inter" w:hAnsi="Inter"/>
          <w:sz w:val="20"/>
        </w:rPr>
        <w:t xml:space="preserve"> — prazo de 360 dias para decisão administrativa.</w:t>
      </w:r>
    </w:p>
    <w:p>
      <w:pPr>
        <w:pStyle w:val="ListBullet"/>
        <w:jc w:val="both"/>
      </w:pPr>
      <w:r>
        <w:rPr>
          <w:rFonts w:ascii="Inter" w:hAnsi="Inter"/>
          <w:b/>
          <w:color w:val="010860"/>
          <w:sz w:val="20"/>
        </w:rPr>
        <w:t>Lei nº 10.637/2002, art. 3º</w:t>
      </w:r>
      <w:r>
        <w:rPr>
          <w:rFonts w:ascii="Inter" w:hAnsi="Inter"/>
          <w:sz w:val="20"/>
        </w:rPr>
        <w:t xml:space="preserve">; </w:t>
      </w:r>
      <w:r>
        <w:rPr>
          <w:rFonts w:ascii="Inter" w:hAnsi="Inter"/>
          <w:b/>
          <w:color w:val="010860"/>
          <w:sz w:val="20"/>
        </w:rPr>
        <w:t>Lei nº 10.833/2003, art. 3º</w:t>
      </w:r>
      <w:r>
        <w:rPr>
          <w:rFonts w:ascii="Inter" w:hAnsi="Inter"/>
          <w:sz w:val="20"/>
        </w:rPr>
        <w:t xml:space="preserve">; </w:t>
      </w:r>
      <w:r>
        <w:rPr>
          <w:rFonts w:ascii="Inter" w:hAnsi="Inter"/>
          <w:b/>
          <w:color w:val="010860"/>
          <w:sz w:val="20"/>
        </w:rPr>
        <w:t>Lei nº 9.779/1999, art. 11</w:t>
      </w:r>
      <w:r>
        <w:rPr>
          <w:rFonts w:ascii="Inter" w:hAnsi="Inter"/>
          <w:sz w:val="20"/>
        </w:rPr>
        <w:t xml:space="preserve">; </w:t>
      </w:r>
      <w:r>
        <w:rPr>
          <w:rFonts w:ascii="Inter" w:hAnsi="Inter"/>
          <w:b/>
          <w:color w:val="010860"/>
          <w:sz w:val="20"/>
        </w:rPr>
        <w:t>Lei nº 9.065/1995, arts. 15 e 16</w:t>
      </w:r>
      <w:r>
        <w:rPr>
          <w:rFonts w:ascii="Inter" w:hAnsi="Inter"/>
          <w:sz w:val="20"/>
        </w:rPr>
        <w:t xml:space="preserve"> — regimes de crédito escritural próprio (Janela A).</w:t>
      </w:r>
    </w:p>
    <w:p>
      <w:pPr>
        <w:spacing w:after="200"/>
      </w:pPr>
    </w:p>
    <w:p>
      <w:pPr>
        <w:pStyle w:val="Heading1"/>
        <w:pBdr>
          <w:bottom w:val="single" w:sz="8" w:space="4" w:color="C9A227"/>
        </w:pBdr>
      </w:pPr>
      <w:r>
        <w:rPr>
          <w:rFonts w:ascii="Montserrat" w:hAnsi="Montserrat"/>
          <w:b/>
          <w:color w:val="010860"/>
          <w:sz w:val="28"/>
        </w:rPr>
        <w:t>CONCLUSÃO E SUBSCRIÇÃO</w:t>
      </w:r>
    </w:p>
    <w:p>
      <w:pPr>
        <w:spacing w:after="120"/>
        <w:jc w:val="both"/>
      </w:pPr>
      <w:r>
        <w:rPr>
          <w:rFonts w:ascii="Inter" w:hAnsi="Inter"/>
          <w:sz w:val="20"/>
        </w:rPr>
        <w:t xml:space="preserve">Conclui-se que a objeção fundada no art. 74, §12, II, "a", da Lei nº 9.430/1996 </w:t>
      </w:r>
      <w:r>
        <w:rPr>
          <w:rFonts w:ascii="Inter" w:hAnsi="Inter"/>
          <w:b/>
          <w:color w:val="010860"/>
          <w:sz w:val="20"/>
        </w:rPr>
        <w:t>não alcança a operação de Direito Creditório Federal conduzida pela Lucro Ativo</w:t>
      </w:r>
      <w:r>
        <w:rPr>
          <w:rFonts w:ascii="Inter" w:hAnsi="Inter"/>
          <w:sz w:val="20"/>
        </w:rPr>
        <w:t xml:space="preserve">, por duas razões autônomas e suficientes: o ativo utilizado </w:t>
      </w:r>
      <w:r>
        <w:rPr>
          <w:rFonts w:ascii="Inter" w:hAnsi="Inter"/>
          <w:b/>
          <w:color w:val="010860"/>
          <w:sz w:val="20"/>
        </w:rPr>
        <w:t>não é de natureza tributária</w:t>
      </w:r>
      <w:r>
        <w:rPr>
          <w:rFonts w:ascii="Inter" w:hAnsi="Inter"/>
          <w:sz w:val="20"/>
        </w:rPr>
        <w:t xml:space="preserve"> e a </w:t>
      </w:r>
      <w:r>
        <w:rPr>
          <w:rFonts w:ascii="Inter" w:hAnsi="Inter"/>
          <w:b/>
          <w:color w:val="010860"/>
          <w:sz w:val="20"/>
        </w:rPr>
        <w:t>titularidade do crédito é do próprio cliente no momento da compensação</w:t>
      </w:r>
      <w:r>
        <w:rPr>
          <w:rFonts w:ascii="Inter" w:hAnsi="Inter"/>
          <w:sz w:val="20"/>
        </w:rPr>
        <w:t>, por cessão e habilitação prévias. A operação encontra fundamento no art. 100, §11, da Constituição Federal, na redação da EC nº 113/2021.</w:t>
      </w:r>
    </w:p>
    <w:p>
      <w:pPr>
        <w:spacing w:after="120"/>
        <w:jc w:val="both"/>
      </w:pPr>
      <w:r>
        <w:rPr>
          <w:rFonts w:ascii="Inter" w:hAnsi="Inter"/>
          <w:sz w:val="20"/>
        </w:rPr>
        <w:t xml:space="preserve">Ressalvam-se expressamente os pontos do item 8, cuja definição condiciona o alcance das afirmações desta nota e a redação final do material comercial. A viabilidade de cada operação permanece sujeita a </w:t>
      </w:r>
      <w:r>
        <w:rPr>
          <w:rFonts w:ascii="Inter" w:hAnsi="Inter"/>
          <w:b/>
          <w:color w:val="010860"/>
          <w:sz w:val="20"/>
        </w:rPr>
        <w:t>análise técnica e jurídica individualizada</w:t>
      </w:r>
      <w:r>
        <w:rPr>
          <w:rFonts w:ascii="Inter" w:hAnsi="Inter"/>
          <w:sz w:val="20"/>
        </w:rPr>
        <w:t>, formalizada em parecer próprio.</w:t>
      </w:r>
    </w:p>
    <w:p>
      <w:pPr>
        <w:spacing w:after="3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40" w:type="dxa"/>
          <w:left w:w="0" w:type="dxa"/>
          <w:bottom w:w="40" w:type="dxa"/>
          <w:right w:w="60" w:type="dxa"/>
        </w:tblCellMar>
      </w:tblPr>
      <w:tblGrid>
        <w:gridCol w:w="4649"/>
        <w:gridCol w:w="4649"/>
      </w:tblGrid>
      <w:tr>
        <w:tc>
          <w:tcPr>
            <w:tcW w:type="dxa" w:w="4649"/>
          </w:tcPr>
          <w:p>
            <w:pPr>
              <w:pBdr>
                <w:top w:val="single" w:sz="6" w:space="2" w:color="010860"/>
              </w:pBdr>
              <w:spacing w:after="40"/>
            </w:pPr>
            <w:r>
              <w:rPr>
                <w:rFonts w:ascii="Montserrat" w:hAnsi="Montserrat"/>
                <w:b/>
                <w:color w:val="010860"/>
                <w:sz w:val="21"/>
              </w:rPr>
              <w:t>Alexandre Batistello</w:t>
            </w:r>
          </w:p>
          <w:p>
            <w:pPr>
              <w:spacing w:after="20"/>
            </w:pPr>
            <w:r>
              <w:rPr>
                <w:rFonts w:ascii="Inter" w:hAnsi="Inter"/>
                <w:color w:val="141414"/>
                <w:sz w:val="18"/>
              </w:rPr>
              <w:t>Diretor Jurídico (CLO) — Lucro Ativo</w:t>
            </w:r>
          </w:p>
          <w:p>
            <w:pPr>
              <w:spacing w:after="20"/>
            </w:pPr>
            <w:r>
              <w:rPr>
                <w:rFonts w:ascii="Inter" w:hAnsi="Inter"/>
                <w:color w:val="5A6072"/>
                <w:sz w:val="17"/>
              </w:rPr>
              <w:t>OAB/____ nº ____________</w:t>
            </w:r>
          </w:p>
        </w:tc>
        <w:tc>
          <w:tcPr>
            <w:tcW w:type="dxa" w:w="4649"/>
          </w:tcPr>
          <w:p>
            <w:pPr>
              <w:pBdr>
                <w:top w:val="single" w:sz="6" w:space="2" w:color="010860"/>
              </w:pBdr>
              <w:spacing w:after="40"/>
            </w:pPr>
            <w:r>
              <w:rPr>
                <w:rFonts w:ascii="Montserrat" w:hAnsi="Montserrat"/>
                <w:b/>
                <w:color w:val="010860"/>
                <w:sz w:val="21"/>
              </w:rPr>
              <w:t>Local e data</w:t>
            </w:r>
          </w:p>
          <w:p>
            <w:pPr>
              <w:spacing w:after="20"/>
            </w:pPr>
            <w:r>
              <w:rPr>
                <w:rFonts w:ascii="Inter" w:hAnsi="Inter"/>
                <w:color w:val="141414"/>
                <w:sz w:val="18"/>
              </w:rPr>
              <w:t>Ribeirão Preto/SP, ______ de ____________ de 2026.</w:t>
            </w:r>
          </w:p>
          <w:p>
            <w:pPr>
              <w:spacing w:after="20"/>
            </w:pPr>
            <w:r>
              <w:rPr>
                <w:rFonts w:ascii="Inter" w:hAnsi="Inter"/>
                <w:color w:val="5A6072"/>
                <w:sz w:val="17"/>
              </w:rPr>
              <w:t>Documento emitido para os fins do item 1 desta nota.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9298"/>
      </w:tblGrid>
      <w:tr>
        <w:tc>
          <w:tcPr>
            <w:tcW w:type="dxa" w:w="9298"/>
            <w:shd w:val="clear" w:fill="F3F5FB"/>
            <w:tcBorders>
              <w:left w:val="single" w:sz="18" w:color="010860"/>
            </w:tcBorders>
          </w:tcPr>
          <w:p>
            <w:pPr>
              <w:spacing w:after="60"/>
            </w:pPr>
            <w:r>
              <w:rPr>
                <w:rFonts w:ascii="Montserrat" w:hAnsi="Montserrat"/>
                <w:b/>
                <w:color w:val="010860"/>
                <w:sz w:val="18"/>
              </w:rPr>
              <w:t>▸ CONTROLE DO DOCUMENTO</w:t>
            </w:r>
          </w:p>
          <w:p>
            <w:pPr>
              <w:spacing w:after="0"/>
              <w:jc w:val="both"/>
            </w:pPr>
            <w:r>
              <w:rPr>
                <w:rFonts w:ascii="Inter" w:hAnsi="Inter"/>
                <w:sz w:val="19"/>
              </w:rPr>
              <w:t xml:space="preserve">NT-001/2026  ·  versão 1.0  ·  Diretoria Jurídica — Lucro Ativo  ·  Setembro de 2026. Substitui qualquer orientação verbal anterior sobre o tema. Revisão obrigatória a cada </w:t>
            </w:r>
            <w:r>
              <w:rPr>
                <w:rFonts w:ascii="Inter" w:hAnsi="Inter"/>
                <w:b/>
                <w:color w:val="010860"/>
                <w:sz w:val="19"/>
              </w:rPr>
              <w:t>6 meses</w:t>
            </w:r>
            <w:r>
              <w:rPr>
                <w:rFonts w:ascii="Inter" w:hAnsi="Inter"/>
                <w:sz w:val="19"/>
              </w:rPr>
              <w:t xml:space="preserve"> ou imediatamente após publicação de novo ato regulamentar da RFB ou da PGFN sobre o art. 100, §11, da Constituição Federal.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10"/>
      <w:footerReference w:type="default" r:id="rId11"/>
      <w:pgSz w:w="11906" w:h="16838"/>
      <w:pgMar w:top="1304" w:right="1304" w:bottom="1134" w:left="1304" w:header="62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5A6072"/>
        <w:sz w:val="15"/>
      </w:rPr>
      <w:t xml:space="preserve">www.meulucroativo.com.br   ·   Uso interno e entrega assistida   ·   </w:t>
    </w:r>
    <w:r>
      <w:rPr>
        <w:rFonts w:ascii="Montserrat" w:hAnsi="Montserrat"/>
        <w:b/>
        <w:color w:val="010860"/>
        <w:sz w:val="15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2608"/>
      <w:gridCol w:w="6690"/>
    </w:tblGrid>
    <w:tr>
      <w:tc>
        <w:tcPr>
          <w:tcW w:type="dxa" w:w="4649"/>
        </w:tcPr>
        <w:p>
          <w:r>
            <w:drawing>
              <wp:inline xmlns:a="http://schemas.openxmlformats.org/drawingml/2006/main" xmlns:pic="http://schemas.openxmlformats.org/drawingml/2006/picture">
                <wp:extent cx="1224000" cy="27536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a_logo_navy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4000" cy="27536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49"/>
        </w:tcPr>
        <w:p>
          <w:pPr>
            <w:jc w:val="right"/>
          </w:pPr>
          <w:r>
            <w:rPr>
              <w:rFonts w:ascii="Montserrat" w:hAnsi="Montserrat"/>
              <w:b/>
              <w:color w:val="5A6072"/>
              <w:sz w:val="15"/>
            </w:rPr>
            <w:t>NOTA TÉCNICA NT-001/2026  ·  DIREITO CREDITÓRIO FEDERAL</w:t>
          </w:r>
        </w:p>
      </w:tc>
    </w:tr>
  </w:tbl>
  <w:p>
    <w:pPr>
      <w:spacing w:before="40" w:after="0"/>
      <w:pBdr>
        <w:bottom w:val="single" w:sz="8" w:space="1" w:color="C9A22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Inter" w:hAnsi="Inter"/>
      <w:color w:val="14141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="Montserrat" w:hAnsi="Montserrat" w:cs="Montserrat"/>
      <w:b/>
      <w:bCs/>
      <w:color w:val="0108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="Montserrat" w:hAnsi="Montserrat" w:cs="Montserrat"/>
      <w:b/>
      <w:bCs/>
      <w:color w:val="01086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="Montserrat" w:hAnsi="Montserrat" w:cs="Montserrat"/>
      <w:b/>
      <w:bCs/>
      <w:color w:val="01086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contextualSpacing/>
    </w:pPr>
    <w:rPr>
      <w:rFonts w:ascii="Inter" w:hAnsi="Inter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