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999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9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9" w:h="16834"/>
          <w:pgMar w:top="0" w:right="0" w:bottom="0" w:left="0" w:header="720" w:footer="720" w:gutter="0"/>
          <w:cols w:space="720"/>
          <w:docGrid w:linePitch="360"/>
        </w:sectPr>
      </w:pPr>
    </w:p>
    <w:p>
      <w:pPr>
        <w:keepNext/>
        <w:spacing w:before="360" w:after="40"/>
        <w:pBdr>
          <w:bottom w:val="single" w:sz="14" w:space="6" w:color="010860"/>
        </w:pBdr>
      </w:pPr>
      <w:r>
        <w:rPr>
          <w:rFonts w:ascii="Montserrat" w:hAnsi="Montserrat" w:cs="Montserrat"/>
          <w:b/>
          <w:i w:val="0"/>
          <w:color w:val="B8892B"/>
          <w:sz w:val="34"/>
        </w:rPr>
        <w:t xml:space="preserve">01  </w:t>
      </w:r>
      <w:r>
        <w:rPr>
          <w:rFonts w:ascii="Montserrat" w:hAnsi="Montserrat" w:cs="Montserrat"/>
          <w:b/>
          <w:i w:val="0"/>
          <w:color w:val="010860"/>
          <w:sz w:val="34"/>
        </w:rPr>
        <w:t>Quem é a Lucro Ativo</w:t>
      </w:r>
    </w:p>
    <w:p>
      <w:pPr>
        <w:spacing w:after="120" w:line="307" w:lineRule="auto"/>
        <w:jc w:val="left"/>
      </w:pPr>
      <w:r>
        <w:rPr>
          <w:rFonts w:ascii="Inter" w:hAnsi="Inter" w:cs="Inter"/>
          <w:b w:val="0"/>
          <w:i w:val="0"/>
          <w:color w:val="1A1F36"/>
          <w:sz w:val="21"/>
        </w:rPr>
        <w:t xml:space="preserve">A </w:t>
      </w:r>
      <w:r>
        <w:rPr>
          <w:rFonts w:ascii="Inter" w:hAnsi="Inter" w:cs="Inter"/>
          <w:b/>
          <w:i w:val="0"/>
          <w:color w:val="010860"/>
          <w:sz w:val="21"/>
        </w:rPr>
        <w:t>Lucro Ativo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é uma operação de </w:t>
      </w:r>
      <w:r>
        <w:rPr>
          <w:rFonts w:ascii="Inter" w:hAnsi="Inter" w:cs="Inter"/>
          <w:b/>
          <w:i w:val="0"/>
          <w:color w:val="010860"/>
          <w:sz w:val="21"/>
        </w:rPr>
        <w:t>inteligência e engenharia tributária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voltada ao segmento corporativo (empresas do </w:t>
      </w:r>
      <w:r>
        <w:rPr>
          <w:rFonts w:ascii="Inter" w:hAnsi="Inter" w:cs="Inter"/>
          <w:b/>
          <w:i w:val="0"/>
          <w:color w:val="010860"/>
          <w:sz w:val="21"/>
        </w:rPr>
        <w:t>Lucro Real e Lucro Presumido</w:t>
      </w:r>
      <w:r>
        <w:rPr>
          <w:rFonts w:ascii="Inter" w:hAnsi="Inter" w:cs="Inter"/>
          <w:b w:val="0"/>
          <w:i w:val="0"/>
          <w:color w:val="1A1F36"/>
          <w:sz w:val="21"/>
        </w:rPr>
        <w:t>). Atuamos na compensação, aproveitamento e gestão de créditos tributários e na resolução estratégica de passivos fiscais — unindo expertise contábil, jurídica e negociação.</w:t>
      </w:r>
    </w:p>
    <w:p>
      <w:pPr>
        <w:spacing w:after="120" w:line="307" w:lineRule="auto"/>
        <w:jc w:val="left"/>
      </w:pPr>
      <w:r>
        <w:rPr>
          <w:rFonts w:ascii="Inter" w:hAnsi="Inter" w:cs="Inter"/>
          <w:b w:val="0"/>
          <w:i w:val="0"/>
          <w:color w:val="1A1F36"/>
          <w:sz w:val="21"/>
        </w:rPr>
        <w:t xml:space="preserve">Nosso posicionamento é </w:t>
      </w:r>
      <w:r>
        <w:rPr>
          <w:rFonts w:ascii="Inter" w:hAnsi="Inter" w:cs="Inter"/>
          <w:b/>
          <w:i w:val="0"/>
          <w:color w:val="010860"/>
          <w:sz w:val="21"/>
        </w:rPr>
        <w:t>consultivo e C-level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: falamos com sócios, CEOs, CFOs e contadores de empresas de médio e grande porte. Não vendemos “curso”, “planilha” nem promessa milagrosa — vendemos </w:t>
      </w:r>
      <w:r>
        <w:rPr>
          <w:rFonts w:ascii="Inter" w:hAnsi="Inter" w:cs="Inter"/>
          <w:b/>
          <w:i w:val="0"/>
          <w:color w:val="010860"/>
          <w:sz w:val="21"/>
        </w:rPr>
        <w:t>reunião técnica com especialista</w:t>
      </w:r>
      <w:r>
        <w:rPr>
          <w:rFonts w:ascii="Inter" w:hAnsi="Inter" w:cs="Inter"/>
          <w:b w:val="0"/>
          <w:i w:val="0"/>
          <w:color w:val="1A1F36"/>
          <w:sz w:val="21"/>
        </w:rPr>
        <w:t>, que evolui para diagnóstico e contrato.</w:t>
      </w: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Modelo comercial — onde o tráfego pago se encaixa</w:t>
      </w:r>
    </w:p>
    <w:p>
      <w:pPr>
        <w:spacing w:after="120" w:line="307" w:lineRule="auto"/>
        <w:jc w:val="left"/>
      </w:pPr>
      <w:r>
        <w:rPr>
          <w:rFonts w:ascii="Inter" w:hAnsi="Inter" w:cs="Inter"/>
          <w:b w:val="0"/>
          <w:i w:val="0"/>
          <w:color w:val="1A1F36"/>
          <w:sz w:val="21"/>
        </w:rPr>
        <w:t xml:space="preserve">A venda é 100% consultiva e ocorre em reunião. O papel do tráfego é </w:t>
      </w:r>
      <w:r>
        <w:rPr>
          <w:rFonts w:ascii="Inter" w:hAnsi="Inter" w:cs="Inter"/>
          <w:b/>
          <w:i w:val="0"/>
          <w:color w:val="010860"/>
          <w:sz w:val="21"/>
        </w:rPr>
        <w:t>alimentar o topo do funil com leads qualificados</w:t>
      </w:r>
      <w:r>
        <w:rPr>
          <w:rFonts w:ascii="Inter" w:hAnsi="Inter" w:cs="Inter"/>
          <w:b w:val="0"/>
          <w:i w:val="0"/>
          <w:color w:val="1A1F36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CEE8"/>
          <w:left w:val="single" w:sz="4" w:space="0" w:color="C7CEE8"/>
          <w:bottom w:val="single" w:sz="4" w:space="0" w:color="C7CEE8"/>
          <w:right w:val="single" w:sz="4" w:space="0" w:color="C7CEE8"/>
          <w:insideH w:val="single" w:sz="4" w:space="0" w:color="C7CEE8"/>
          <w:insideV w:val="single" w:sz="4" w:space="0" w:color="C7CEE8"/>
        </w:tblBorders>
        <w:tblLayout w:type="fixed"/>
      </w:tblPr>
      <w:tblGrid>
        <w:gridCol w:w="4730"/>
        <w:gridCol w:w="4730"/>
      </w:tblGrid>
      <w:tr>
        <w:trPr>
          <w:tblHeader w:val="true"/>
        </w:trPr>
        <w:tc>
          <w:tcPr>
            <w:tcW w:type="dxa" w:w="3744"/>
            <w:shd w:val="clear" w:color="auto" w:fill="01086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Etapa</w:t>
            </w:r>
          </w:p>
        </w:tc>
        <w:tc>
          <w:tcPr>
            <w:tcW w:type="dxa" w:w="6192"/>
            <w:shd w:val="clear" w:color="auto" w:fill="01086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O que acontece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1 · Anúncio / Copy</w:t>
            </w:r>
          </w:p>
        </w:tc>
        <w:tc>
          <w:tcPr>
            <w:tcW w:type="dxa" w:w="6192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Instagram · Meta Ads</w:t>
            </w:r>
          </w:p>
        </w:tc>
      </w:tr>
      <w:tr>
        <w:tc>
          <w:tcPr>
            <w:tcW w:type="dxa" w:w="3744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2 · Lead</w:t>
            </w:r>
          </w:p>
        </w:tc>
        <w:tc>
          <w:tcPr>
            <w:tcW w:type="dxa" w:w="6192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Formulário com filtros de qualificação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3 · Pré-venda (SDR)</w:t>
            </w:r>
          </w:p>
        </w:tc>
        <w:tc>
          <w:tcPr>
            <w:tcW w:type="dxa" w:w="6192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Qualifica e agenda</w:t>
            </w:r>
          </w:p>
        </w:tc>
      </w:tr>
      <w:tr>
        <w:tc>
          <w:tcPr>
            <w:tcW w:type="dxa" w:w="3744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4 · Reunião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 — Executivo de Vendas conduz. </w:t>
            </w: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É o KPI que importa.</w:t>
            </w:r>
          </w:p>
        </w:tc>
        <w:tc>
          <w:tcPr>
            <w:tcW w:type="dxa" w:w="6192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5 · Diagnóstico → Contrato</w:t>
            </w:r>
          </w:p>
        </w:tc>
        <w:tc>
          <w:tcPr>
            <w:tcW w:type="dxa" w:w="6192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Proposta técnica</w:t>
            </w:r>
          </w:p>
        </w:tc>
      </w:tr>
    </w:tbl>
    <w:p>
      <w:pPr>
        <w:spacing w:after="40"/>
      </w:pP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10+ Executivos de Vendas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dependem de reuniões geradas por este canal.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Decisores B2B: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sócios, CEOs, CFOs e contadores — Lucro Real e Presumido.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CRM próprio: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rastreio ponta a ponta (lead → reunião → contrato) — devolve feedback de qualidade para a otimização da mídia.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61"/>
      </w:tblGrid>
      <w:tr>
        <w:tc>
          <w:tcPr>
            <w:tcW w:type="dxa" w:w="9936"/>
            <w:shd w:val="clear" w:color="auto" w:fill="FBF4E6"/>
            <w:tcBorders>
              <w:left w:val="single" w:sz="26" w:space="0" w:color="B8892B"/>
            </w:tcBorders>
          </w:tcPr>
          <w:p>
            <w:pPr>
              <w:spacing w:after="60" w:before="60"/>
            </w:pPr>
            <w:r/>
            <w:r>
              <w:rPr>
                <w:rFonts w:ascii="Montserrat" w:hAnsi="Montserrat" w:cs="Montserrat"/>
                <w:b/>
                <w:i w:val="0"/>
                <w:color w:val="B8892B"/>
                <w:sz w:val="20"/>
              </w:rPr>
              <w:t>O que o canal precisa entregar</w:t>
            </w:r>
          </w:p>
          <w:p>
            <w:pPr>
              <w:spacing w:after="60" w:line="300" w:lineRule="auto"/>
            </w:pP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Reunião realizada com o perfil certo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 — não lead barato. A campanha anterior entregou bons resultados por um bom período; na fase final, o comparecimento e a conversão caíram, e pausamos para reestruturar. O sucesso desta nova fase será medido em </w:t>
            </w: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reuniões qualificadas realizadas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>.</w:t>
            </w:r>
          </w:p>
        </w:tc>
      </w:tr>
    </w:tbl>
    <w:p>
      <w:pPr>
        <w:spacing w:after="40"/>
      </w:pPr>
    </w:p>
    <w:p>
      <w:pPr>
        <w:keepNext/>
        <w:spacing w:before="360" w:after="40"/>
        <w:pBdr>
          <w:bottom w:val="single" w:sz="14" w:space="6" w:color="010860"/>
        </w:pBdr>
      </w:pPr>
      <w:r>
        <w:rPr>
          <w:rFonts w:ascii="Montserrat" w:hAnsi="Montserrat" w:cs="Montserrat"/>
          <w:b/>
          <w:i w:val="0"/>
          <w:color w:val="B8892B"/>
          <w:sz w:val="34"/>
        </w:rPr>
        <w:t xml:space="preserve">02  </w:t>
      </w:r>
      <w:r>
        <w:rPr>
          <w:rFonts w:ascii="Montserrat" w:hAnsi="Montserrat" w:cs="Montserrat"/>
          <w:b/>
          <w:i w:val="0"/>
          <w:color w:val="010860"/>
          <w:sz w:val="34"/>
        </w:rPr>
        <w:t>Produtos foco das campanhas</w:t>
      </w:r>
    </w:p>
    <w:p>
      <w:pPr>
        <w:spacing w:before="0" w:after="120" w:line="307" w:lineRule="auto"/>
        <w:jc w:val="left"/>
      </w:pPr>
      <w:r>
        <w:rPr>
          <w:rFonts w:ascii="Inter" w:hAnsi="Inter" w:cs="Inter"/>
          <w:b w:val="0"/>
          <w:i w:val="0"/>
          <w:color w:val="1A1F36"/>
          <w:sz w:val="21"/>
        </w:rPr>
        <w:t>Dois produtos próprios concentram o esforço de mídia. O resumo abaixo é o necessário para copy — o aprofundamento técnico está nos materiais de apoio (decks e FAQ).</w:t>
      </w: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DCF — Direito Creditório Federal (produto próprio)</w:t>
      </w:r>
    </w:p>
    <w:p>
      <w:pPr>
        <w:spacing w:after="120" w:line="307" w:lineRule="auto"/>
        <w:jc w:val="left"/>
      </w:pPr>
      <w:r>
        <w:rPr>
          <w:rFonts w:ascii="Inter" w:hAnsi="Inter" w:cs="Inter"/>
          <w:b/>
          <w:i w:val="0"/>
          <w:color w:val="010860"/>
          <w:sz w:val="21"/>
        </w:rPr>
        <w:t xml:space="preserve">O que é: 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operação estruturada que permite à empresa </w:t>
      </w:r>
      <w:r>
        <w:rPr>
          <w:rFonts w:ascii="Inter" w:hAnsi="Inter" w:cs="Inter"/>
          <w:b/>
          <w:i w:val="0"/>
          <w:color w:val="010860"/>
          <w:sz w:val="21"/>
        </w:rPr>
        <w:t>quitar tributos federais utilizando direito creditório com deságio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— pagar a mesma obrigação por menos, com lastro jurídico, seguro-garantia e condução 100% pela equipe Lucro Ativo.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Para quem: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empresas do Lucro Real e Presumido com carga tributária federal relevante (IRPJ, CSLL, PIS/COFINS).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Dor que resolve: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caixa consumido por tributos correntes; empresa paga “preço cheio” todo mês.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Ângulo de copy: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eficiência financeira e preservação de caixa — “sua empresa pode estar pagando mais imposto federal do que precisa”.</w:t>
      </w: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ICMS-SP — Compensação do ICMS mensal com créditos acumulados (produto próprio)</w:t>
      </w:r>
    </w:p>
    <w:p>
      <w:pPr>
        <w:spacing w:after="120" w:line="307" w:lineRule="auto"/>
        <w:jc w:val="left"/>
      </w:pPr>
      <w:r>
        <w:rPr>
          <w:rFonts w:ascii="Inter" w:hAnsi="Inter" w:cs="Inter"/>
          <w:b/>
          <w:i w:val="0"/>
          <w:color w:val="010860"/>
          <w:sz w:val="21"/>
        </w:rPr>
        <w:t xml:space="preserve">O que é: 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compensação do ICMS mensal a recolher com </w:t>
      </w:r>
      <w:r>
        <w:rPr>
          <w:rFonts w:ascii="Inter" w:hAnsi="Inter" w:cs="Inter"/>
          <w:b/>
          <w:i w:val="0"/>
          <w:color w:val="010860"/>
          <w:sz w:val="21"/>
        </w:rPr>
        <w:t>créditos acumulados de ICMS transferidos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por detentores habilitados junto à SEFAZ/SP — o lançamento na apuração (GIA/SPED) </w:t>
      </w:r>
      <w:r>
        <w:rPr>
          <w:rFonts w:ascii="Inter" w:hAnsi="Inter" w:cs="Inter"/>
          <w:b/>
          <w:i w:val="0"/>
          <w:color w:val="010860"/>
          <w:sz w:val="21"/>
        </w:rPr>
        <w:t>reduz o imposto do mês na fonte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e o cliente paga pelo crédito utilizado com deságio: economia direta e recorrente. Não é “recuperação” retroativa — é redução do imposto corrente.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Para quem: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contribuintes com ICMS mensal relevante e recorrente — indústrias, distribuidoras, atacadistas, importadoras e varejo — prioridade em São Paulo (há atuação em outras UFs).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Dor que resolve: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o ICMS consome o caixa todo mês e a empresa paga o valor integral, sem crédito próprio para abater.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Ângulo de copy: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pagar o mesmo imposto por menos, todo mês — mecânica prevista no próprio regulamento paulista, sem tese “aventureira”.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61"/>
      </w:tblGrid>
      <w:tr>
        <w:tc>
          <w:tcPr>
            <w:tcW w:type="dxa" w:w="9936"/>
            <w:shd w:val="clear" w:color="auto" w:fill="FBEDEC"/>
            <w:tcBorders>
              <w:left w:val="single" w:sz="26" w:space="0" w:color="A32A35"/>
            </w:tcBorders>
          </w:tcPr>
          <w:p>
            <w:pPr>
              <w:spacing w:after="60" w:before="60"/>
            </w:pPr>
            <w:r/>
            <w:r>
              <w:rPr>
                <w:rFonts w:ascii="Montserrat" w:hAnsi="Montserrat" w:cs="Montserrat"/>
                <w:b/>
                <w:i w:val="0"/>
                <w:color w:val="A32A35"/>
                <w:sz w:val="20"/>
              </w:rPr>
              <w:t>⚠ Regra inegociável para toda copy</w:t>
            </w:r>
          </w:p>
          <w:p>
            <w:pPr>
              <w:spacing w:after="60" w:line="300" w:lineRule="auto"/>
            </w:pP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Nenhum número (percentual de economia, valor compensado, prazo, “garantido”) pode ir a público sem validação prévia do time jurídico/tributário da Lucro Ativo.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 Somos uma operação de natureza jurídico-tributária: promessa de resultado em anúncio é risco regulatório e reputacional. Toda peça passa por aprovação antes de veicular.</w:t>
            </w:r>
          </w:p>
        </w:tc>
      </w:tr>
    </w:tbl>
    <w:p>
      <w:pPr>
        <w:spacing w:after="40"/>
      </w:pPr>
    </w:p>
    <w:p>
      <w:pPr>
        <w:keepNext/>
        <w:spacing w:before="360" w:after="40"/>
        <w:pBdr>
          <w:bottom w:val="single" w:sz="14" w:space="6" w:color="010860"/>
        </w:pBdr>
      </w:pPr>
      <w:r>
        <w:rPr>
          <w:rFonts w:ascii="Montserrat" w:hAnsi="Montserrat" w:cs="Montserrat"/>
          <w:b/>
          <w:i w:val="0"/>
          <w:color w:val="B8892B"/>
          <w:sz w:val="34"/>
        </w:rPr>
        <w:t xml:space="preserve">03  </w:t>
      </w:r>
      <w:r>
        <w:rPr>
          <w:rFonts w:ascii="Montserrat" w:hAnsi="Montserrat" w:cs="Montserrat"/>
          <w:b/>
          <w:i w:val="0"/>
          <w:color w:val="010860"/>
          <w:sz w:val="34"/>
        </w:rPr>
        <w:t>Parceria Grupo Studio &amp; público-alvo</w:t>
      </w: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Grupo Studio — força de marca e portfólio ampliado</w:t>
      </w:r>
    </w:p>
    <w:p>
      <w:pPr>
        <w:spacing w:after="120" w:line="307" w:lineRule="auto"/>
        <w:jc w:val="left"/>
      </w:pPr>
      <w:r>
        <w:rPr>
          <w:rFonts w:ascii="Inter" w:hAnsi="Inter" w:cs="Inter"/>
          <w:b w:val="0"/>
          <w:i w:val="0"/>
          <w:color w:val="1A1F36"/>
          <w:sz w:val="21"/>
        </w:rPr>
        <w:t xml:space="preserve">A Lucro Ativo mantém </w:t>
      </w:r>
      <w:r>
        <w:rPr>
          <w:rFonts w:ascii="Inter" w:hAnsi="Inter" w:cs="Inter"/>
          <w:b/>
          <w:i w:val="0"/>
          <w:color w:val="010860"/>
          <w:sz w:val="21"/>
        </w:rPr>
        <w:t>parceria estratégica com o Grupo Studio</w:t>
      </w:r>
      <w:r>
        <w:rPr>
          <w:rFonts w:ascii="Inter" w:hAnsi="Inter" w:cs="Inter"/>
          <w:b w:val="0"/>
          <w:i w:val="0"/>
          <w:color w:val="1A1F36"/>
          <w:sz w:val="21"/>
        </w:rPr>
        <w:t>, uma das maiores redes de soluções tributárias e de gestão do país (grande base histórica de clientes atendidos em âmbito nacional). Na prática: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 w:val="0"/>
          <w:i w:val="0"/>
          <w:color w:val="1A1F36"/>
          <w:sz w:val="21"/>
        </w:rPr>
        <w:t xml:space="preserve">Nosso portfólio vai além dos produtos próprios: oferecemos </w:t>
      </w:r>
      <w:r>
        <w:rPr>
          <w:rFonts w:ascii="Inter" w:hAnsi="Inter" w:cs="Inter"/>
          <w:b/>
          <w:i w:val="0"/>
          <w:color w:val="010860"/>
          <w:sz w:val="21"/>
        </w:rPr>
        <w:t>soluções complementares do Grupo Studio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(revisão tributária, energia, folha/previdenciário e outras), sempre com </w:t>
      </w:r>
      <w:r>
        <w:rPr>
          <w:rFonts w:ascii="Inter" w:hAnsi="Inter" w:cs="Inter"/>
          <w:b/>
          <w:i w:val="0"/>
          <w:color w:val="010860"/>
          <w:sz w:val="21"/>
        </w:rPr>
        <w:t>condução comercial 100% Lucro Ativo</w:t>
      </w:r>
      <w:r>
        <w:rPr>
          <w:rFonts w:ascii="Inter" w:hAnsi="Inter" w:cs="Inter"/>
          <w:b w:val="0"/>
          <w:i w:val="0"/>
          <w:color w:val="1A1F36"/>
          <w:sz w:val="21"/>
        </w:rPr>
        <w:t>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 w:val="0"/>
          <w:i w:val="0"/>
          <w:color w:val="1A1F36"/>
          <w:sz w:val="21"/>
        </w:rPr>
        <w:t xml:space="preserve">Em materiais, produtos GS são sinalizados com </w:t>
      </w:r>
      <w:r>
        <w:rPr>
          <w:rFonts w:ascii="Inter" w:hAnsi="Inter" w:cs="Inter"/>
          <w:b/>
          <w:i w:val="0"/>
          <w:color w:val="010860"/>
          <w:sz w:val="21"/>
        </w:rPr>
        <w:t>selo discreto da marca parceira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— usamos a força da marca sem diluir a nossa.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 w:val="0"/>
          <w:i w:val="0"/>
          <w:color w:val="1A1F36"/>
          <w:sz w:val="21"/>
        </w:rPr>
        <w:t xml:space="preserve">Para a mídia: a parceria é </w:t>
      </w:r>
      <w:r>
        <w:rPr>
          <w:rFonts w:ascii="Inter" w:hAnsi="Inter" w:cs="Inter"/>
          <w:b/>
          <w:i w:val="0"/>
          <w:color w:val="010860"/>
          <w:sz w:val="21"/>
        </w:rPr>
        <w:t>argumento de autoridade e escala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(“estrutura nacional por trás”), não o protagonista. A marca que anuncia é a Lucro Ativo.</w:t>
      </w: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Perfil de cliente ideal (ICP)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CEE8"/>
          <w:left w:val="single" w:sz="4" w:space="0" w:color="C7CEE8"/>
          <w:bottom w:val="single" w:sz="4" w:space="0" w:color="C7CEE8"/>
          <w:right w:val="single" w:sz="4" w:space="0" w:color="C7CEE8"/>
          <w:insideH w:val="single" w:sz="4" w:space="0" w:color="C7CEE8"/>
          <w:insideV w:val="single" w:sz="4" w:space="0" w:color="C7CEE8"/>
        </w:tblBorders>
        <w:tblLayout w:type="fixed"/>
      </w:tblPr>
      <w:tblGrid>
        <w:gridCol w:w="4730"/>
        <w:gridCol w:w="4730"/>
      </w:tblGrid>
      <w:tr>
        <w:trPr>
          <w:tblHeader w:val="true"/>
        </w:trPr>
        <w:tc>
          <w:tcPr>
            <w:tcW w:type="dxa" w:w="2736"/>
            <w:shd w:val="clear" w:color="auto" w:fill="01086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Dimensão</w:t>
            </w:r>
          </w:p>
        </w:tc>
        <w:tc>
          <w:tcPr>
            <w:tcW w:type="dxa" w:w="7200"/>
            <w:shd w:val="clear" w:color="auto" w:fill="01086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Regime tributário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>Lucro Real e Lucro Presumido (</w:t>
            </w: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Simples Nacional não é foco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 — principal filtro anti-lead-ruim)</w:t>
            </w:r>
          </w:p>
        </w:tc>
      </w:tr>
      <w:tr>
        <w:tc>
          <w:tcPr>
            <w:tcW w:type="dxa" w:w="2736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Porte</w:t>
            </w:r>
          </w:p>
        </w:tc>
        <w:tc>
          <w:tcPr>
            <w:tcW w:type="dxa" w:w="7200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>Médias e grandes empresas; faturamento relevante — faixa exata de corte:</w:t>
            </w:r>
            <w:r>
              <w:rPr>
                <w:rFonts w:ascii="Inter" w:hAnsi="Inter" w:cs="Inter"/>
                <w:b/>
                <w:i w:val="0"/>
                <w:color w:val="B8892B"/>
                <w:sz w:val="18"/>
              </w:rPr>
              <w:t xml:space="preserve"> [PARÂMETRO A VALIDAR] 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>com a diretoria comercial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Segmentos com tração na base real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Indústria, distribuição/atacado, farma e drogarias, supermercados, transporte e logística, agro/alimentos, combustíveis</w:t>
            </w:r>
          </w:p>
        </w:tc>
      </w:tr>
      <w:tr>
        <w:tc>
          <w:tcPr>
            <w:tcW w:type="dxa" w:w="2736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Decisor (persona)</w:t>
            </w:r>
          </w:p>
        </w:tc>
        <w:tc>
          <w:tcPr>
            <w:tcW w:type="dxa" w:w="7200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Sócio/CEO, CFO/diretor financeiro, controller e contador (interno ou escritório que influencia a decisão)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Geografia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ICMS-SP: prioridade São Paulo · DCF: nacional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61"/>
      </w:tblGrid>
      <w:tr>
        <w:tc>
          <w:tcPr>
            <w:tcW w:type="dxa" w:w="9936"/>
            <w:shd w:val="clear" w:color="auto" w:fill="FBF4E6"/>
            <w:tcBorders>
              <w:left w:val="single" w:sz="26" w:space="0" w:color="B8892B"/>
            </w:tcBorders>
          </w:tcPr>
          <w:p>
            <w:pPr>
              <w:spacing w:after="60" w:before="60"/>
            </w:pPr>
            <w:r/>
            <w:r>
              <w:rPr>
                <w:rFonts w:ascii="Montserrat" w:hAnsi="Montserrat" w:cs="Montserrat"/>
                <w:b/>
                <w:i w:val="0"/>
                <w:color w:val="B8892B"/>
                <w:sz w:val="20"/>
              </w:rPr>
              <w:t>Anti-persona (o que o filtro precisa barrar)</w:t>
            </w:r>
          </w:p>
          <w:p>
            <w:pPr>
              <w:spacing w:after="60" w:line="300" w:lineRule="auto"/>
            </w:pP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MEI, Simples Nacional, pessoa física buscando “restituição de imposto de renda”, curiosos de “renda extra” e aventureiros de tese milagrosa. </w:t>
            </w: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Foi o avanço desse público que pressionou o comparecimento e a conversão na fase final da campanha anterior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 — o formulário e a copy devem desqualificar ativamente.</w:t>
            </w:r>
          </w:p>
        </w:tc>
      </w:tr>
    </w:tbl>
    <w:p>
      <w:pPr>
        <w:spacing w:after="40"/>
      </w:pPr>
    </w:p>
    <w:p>
      <w:pPr>
        <w:keepNext/>
        <w:spacing w:before="360" w:after="40"/>
        <w:pBdr>
          <w:bottom w:val="single" w:sz="14" w:space="6" w:color="010860"/>
        </w:pBdr>
      </w:pPr>
      <w:r>
        <w:rPr>
          <w:rFonts w:ascii="Montserrat" w:hAnsi="Montserrat" w:cs="Montserrat"/>
          <w:b/>
          <w:i w:val="0"/>
          <w:color w:val="B8892B"/>
          <w:sz w:val="34"/>
        </w:rPr>
        <w:t xml:space="preserve">04  </w:t>
      </w:r>
      <w:r>
        <w:rPr>
          <w:rFonts w:ascii="Montserrat" w:hAnsi="Montserrat" w:cs="Montserrat"/>
          <w:b/>
          <w:i w:val="0"/>
          <w:color w:val="010860"/>
          <w:sz w:val="34"/>
        </w:rPr>
        <w:t>Cenário atual — histórico do canal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CEE8"/>
          <w:left w:val="single" w:sz="4" w:space="0" w:color="C7CEE8"/>
          <w:bottom w:val="single" w:sz="4" w:space="0" w:color="C7CEE8"/>
          <w:right w:val="single" w:sz="4" w:space="0" w:color="C7CEE8"/>
          <w:insideH w:val="single" w:sz="4" w:space="0" w:color="C7CEE8"/>
          <w:insideV w:val="single" w:sz="4" w:space="0" w:color="C7CEE8"/>
        </w:tblBorders>
        <w:tblLayout w:type="fixed"/>
      </w:tblPr>
      <w:tblGrid>
        <w:gridCol w:w="4730"/>
        <w:gridCol w:w="4730"/>
      </w:tblGrid>
      <w:tr>
        <w:trPr>
          <w:tblHeader w:val="true"/>
        </w:trPr>
        <w:tc>
          <w:tcPr>
            <w:tcW w:type="dxa" w:w="2736"/>
            <w:shd w:val="clear" w:color="auto" w:fill="01086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7200"/>
            <w:shd w:val="clear" w:color="auto" w:fill="01086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Situação em Agosto/2026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Histórico do canal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Tráfego pago na Meta ativo por um </w:t>
            </w: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bom período, com ótimos resultados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 de geração de leads e reuniões durante boa parte da veiculação.</w:t>
            </w:r>
          </w:p>
        </w:tc>
      </w:tr>
      <w:tr>
        <w:tc>
          <w:tcPr>
            <w:tcW w:type="dxa" w:w="2736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Campanhas ativas</w:t>
            </w:r>
          </w:p>
        </w:tc>
        <w:tc>
          <w:tcPr>
            <w:tcW w:type="dxa" w:w="7200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Nenhuma no momento.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 A veiculação foi </w:t>
            </w: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pausada em julho/2026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 para reestruturação do canal.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Motivo da pausa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Nos </w:t>
            </w: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últimos 60 dias de veiculação (junho a meados de julho/2026)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, o canal passou a apresentar </w:t>
            </w: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alto no-show e baixa conversão em fechamento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 — optamos por pausar e reestruturar antes de reinvestir.</w:t>
            </w:r>
          </w:p>
        </w:tc>
      </w:tr>
      <w:tr>
        <w:tc>
          <w:tcPr>
            <w:tcW w:type="dxa" w:w="2736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Formato histórico</w:t>
            </w:r>
          </w:p>
        </w:tc>
        <w:tc>
          <w:tcPr>
            <w:tcW w:type="dxa" w:w="7200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Campanhas objetivas/simples, direcionando para os perfis de Instagram da Lucro Ativo e do Dr. Lucas — sem landing dedicada por oferta e sem camada forte de qualificação.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Depoimentos e cases públicos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Não temos hoje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 depoimentos gravados nem cases autorizados para veiculação (ver box abaixo).</w:t>
            </w:r>
          </w:p>
        </w:tc>
      </w:tr>
      <w:tr>
        <w:tc>
          <w:tcPr>
            <w:tcW w:type="dxa" w:w="2736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Rastreamento</w:t>
            </w:r>
          </w:p>
        </w:tc>
        <w:tc>
          <w:tcPr>
            <w:tcW w:type="dxa" w:w="7200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>CRM próprio implantado (pipeline lead → reunião → contrato). Instrumentação da ponta de mídia (pixel, eventos, atribuição por campanha) a estruturar em conjunto:</w:t>
            </w:r>
            <w:r>
              <w:rPr>
                <w:rFonts w:ascii="Inter" w:hAnsi="Inter" w:cs="Inter"/>
                <w:b/>
                <w:i w:val="0"/>
                <w:color w:val="B8892B"/>
                <w:sz w:val="18"/>
              </w:rPr>
              <w:t xml:space="preserve"> [LEVANTAR COM TI]</w:t>
            </w:r>
          </w:p>
        </w:tc>
      </w:tr>
    </w:tbl>
    <w:p>
      <w:pPr>
        <w:spacing w:after="40"/>
      </w:pP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Leitura da Lucro Ativo — o que evoluir na nova fase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Bússola de otimização: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migrar do custo por lead para o custo por </w:t>
      </w:r>
      <w:r>
        <w:rPr>
          <w:rFonts w:ascii="Inter" w:hAnsi="Inter" w:cs="Inter"/>
          <w:b/>
          <w:i w:val="0"/>
          <w:color w:val="010860"/>
          <w:sz w:val="21"/>
        </w:rPr>
        <w:t>reunião qualificada realizada</w:t>
      </w:r>
      <w:r>
        <w:rPr>
          <w:rFonts w:ascii="Inter" w:hAnsi="Inter" w:cs="Inter"/>
          <w:b w:val="0"/>
          <w:i w:val="0"/>
          <w:color w:val="1A1F36"/>
          <w:sz w:val="21"/>
        </w:rPr>
        <w:t>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Camada de qualificação: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copy e formulário devem desqualificar ativamente Simples/PF, protegendo a agenda do SDR e o comparecimento.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Destino do clique: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evoluir do perfil do Instagram para destino dedicado por oferta — com captura estruturada e mensuração fina.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61"/>
      </w:tblGrid>
      <w:tr>
        <w:tc>
          <w:tcPr>
            <w:tcW w:type="dxa" w:w="9936"/>
            <w:shd w:val="clear" w:color="auto" w:fill="FBEDEC"/>
            <w:tcBorders>
              <w:left w:val="single" w:sz="26" w:space="0" w:color="A32A35"/>
            </w:tcBorders>
          </w:tcPr>
          <w:p>
            <w:pPr>
              <w:spacing w:after="60" w:before="60"/>
            </w:pPr>
            <w:r/>
            <w:r>
              <w:rPr>
                <w:rFonts w:ascii="Montserrat" w:hAnsi="Montserrat" w:cs="Montserrat"/>
                <w:b/>
                <w:i w:val="0"/>
                <w:color w:val="A32A35"/>
                <w:sz w:val="20"/>
              </w:rPr>
              <w:t>Sobre o pedido de “depoimentos, cases e prints”</w:t>
            </w:r>
          </w:p>
          <w:p>
            <w:pPr>
              <w:spacing w:after="60" w:line="300" w:lineRule="auto"/>
            </w:pP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Resposta transparente: </w:t>
            </w: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não existem hoje depoimentos e cases prontos e autorizados para uso público.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 Existe base real de clientes atendidos e resultados internos — mas transformar isso em prova social exige autorização formal de cada cliente e validação jurídica. Caminho proposto: (1) curto prazo, sustentar a copy em </w:t>
            </w: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autoridade técnica + base legal + clareza de processo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; (2) em paralelo, a Lucro Ativo inicia a </w:t>
            </w: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coleta estruturada de autorizações e cases anonimizados por segmento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 para abastecer a mídia nas fases seguintes.</w:t>
            </w:r>
          </w:p>
        </w:tc>
      </w:tr>
    </w:tbl>
    <w:p>
      <w:pPr>
        <w:spacing w:after="40"/>
      </w:pPr>
    </w:p>
    <w:p>
      <w:pPr>
        <w:keepNext/>
        <w:spacing w:before="360" w:after="40"/>
        <w:pBdr>
          <w:bottom w:val="single" w:sz="14" w:space="6" w:color="010860"/>
        </w:pBdr>
      </w:pPr>
      <w:r>
        <w:rPr>
          <w:rFonts w:ascii="Montserrat" w:hAnsi="Montserrat" w:cs="Montserrat"/>
          <w:b/>
          <w:i w:val="0"/>
          <w:color w:val="B8892B"/>
          <w:sz w:val="34"/>
        </w:rPr>
        <w:t xml:space="preserve">05  </w:t>
      </w:r>
      <w:r>
        <w:rPr>
          <w:rFonts w:ascii="Montserrat" w:hAnsi="Montserrat" w:cs="Montserrat"/>
          <w:b/>
          <w:i w:val="0"/>
          <w:color w:val="010860"/>
          <w:sz w:val="34"/>
        </w:rPr>
        <w:t>Objetivos da nova operação de mídia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61"/>
      </w:tblGrid>
      <w:tr>
        <w:tc>
          <w:tcPr>
            <w:tcW w:type="dxa" w:w="9936"/>
            <w:shd w:val="clear" w:color="auto" w:fill="FBF4E6"/>
            <w:tcBorders>
              <w:left w:val="single" w:sz="26" w:space="0" w:color="B8892B"/>
            </w:tcBorders>
          </w:tcPr>
          <w:p>
            <w:pPr>
              <w:spacing w:after="60" w:before="60"/>
            </w:pPr>
            <w:r/>
            <w:r>
              <w:rPr>
                <w:rFonts w:ascii="Montserrat" w:hAnsi="Montserrat" w:cs="Montserrat"/>
                <w:b/>
                <w:i w:val="0"/>
                <w:color w:val="B8892B"/>
                <w:sz w:val="20"/>
              </w:rPr>
              <w:t>Objetivo central</w:t>
            </w:r>
          </w:p>
          <w:p>
            <w:pPr>
              <w:spacing w:after="60" w:line="300" w:lineRule="auto"/>
            </w:pP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Reativar a geração de reuniões comerciais qualificadas em volume suficiente para abastecer a agenda de 10+ Executivos de Vendas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>, com comparecimento e conversão que sustentem o contrato — recuperando e superando o patamar da melhor fase do canal.</w:t>
            </w:r>
          </w:p>
        </w:tc>
      </w:tr>
    </w:tbl>
    <w:p>
      <w:pPr>
        <w:spacing w:after="40"/>
      </w:pP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Como mediremos sucesso (proposta de KPIs)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CEE8"/>
          <w:left w:val="single" w:sz="4" w:space="0" w:color="C7CEE8"/>
          <w:bottom w:val="single" w:sz="4" w:space="0" w:color="C7CEE8"/>
          <w:right w:val="single" w:sz="4" w:space="0" w:color="C7CEE8"/>
          <w:insideH w:val="single" w:sz="4" w:space="0" w:color="C7CEE8"/>
          <w:insideV w:val="single" w:sz="4" w:space="0" w:color="C7CEE8"/>
        </w:tblBorders>
        <w:tblLayout w:type="fixed"/>
      </w:tblPr>
      <w:tblGrid>
        <w:gridCol w:w="4730"/>
        <w:gridCol w:w="4730"/>
      </w:tblGrid>
      <w:tr>
        <w:trPr>
          <w:tblHeader w:val="true"/>
        </w:trPr>
        <w:tc>
          <w:tcPr>
            <w:tcW w:type="dxa" w:w="3888"/>
            <w:shd w:val="clear" w:color="auto" w:fill="01086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Indicador</w:t>
            </w:r>
          </w:p>
        </w:tc>
        <w:tc>
          <w:tcPr>
            <w:tcW w:type="dxa" w:w="6048"/>
            <w:shd w:val="clear" w:color="auto" w:fill="01086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Papel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Reuniões qualificadas realizadas / mês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>KPI primário — meta numérica a calibrar com a Sprint a partir da capacidade dos executivos</w:t>
            </w:r>
            <w:r>
              <w:rPr>
                <w:rFonts w:ascii="Inter" w:hAnsi="Inter" w:cs="Inter"/>
                <w:b/>
                <w:i w:val="0"/>
                <w:color w:val="B8892B"/>
                <w:sz w:val="18"/>
              </w:rPr>
              <w:t xml:space="preserve"> [PARÂMETRO A VALIDAR] </w:t>
            </w:r>
          </w:p>
        </w:tc>
      </w:tr>
      <w:tr>
        <w:tc>
          <w:tcPr>
            <w:tcW w:type="dxa" w:w="3888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Taxa de qualificação do lead (lead → agenda)</w:t>
            </w:r>
          </w:p>
        </w:tc>
        <w:tc>
          <w:tcPr>
            <w:tcW w:type="dxa" w:w="6048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Mede se copy/filtros estão barrando a anti-persona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Comparecimento (show rate)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Ponto de atenção prioritário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 — o alto no-show foi o principal sintoma da fase final da campanha anterior</w:t>
            </w:r>
          </w:p>
        </w:tc>
      </w:tr>
      <w:tr>
        <w:tc>
          <w:tcPr>
            <w:tcW w:type="dxa" w:w="3888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Reunião → proposta → contrato</w:t>
            </w:r>
          </w:p>
        </w:tc>
        <w:tc>
          <w:tcPr>
            <w:tcW w:type="dxa" w:w="6048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Fechamento do loop no CRM — devolvemos esse dado à Sprint para otimização por campanha/criativo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Custo por reunião qualificada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Métrica de eficiência do investimento (substitui o CPL como bússola)</w:t>
            </w:r>
          </w:p>
        </w:tc>
      </w:tr>
    </w:tbl>
    <w:p>
      <w:pPr>
        <w:spacing w:after="40"/>
      </w:pP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O que a Lucro Ativo espera da Sprint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Copy e oferta específicas por produto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(DCF e ICMS-SP), com mecanismo claro de qualificação — é exatamente o escopo que vocês propuseram.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Estratégia de destino do clique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(landing dedicada, formulário qualificador, WhatsApp estruturado — recomendação de vocês, decidimos juntos).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Plano de mensuração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por campanha/criativo, integrado ao nosso funil (lead → reunião → contrato).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Cadência de otimização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com reunião periódica de resultados usando o feedback de qualidade do nosso CRM.</w:t>
      </w:r>
    </w:p>
    <w:p>
      <w:pPr>
        <w:keepNext/>
        <w:spacing w:before="360" w:after="40"/>
        <w:pBdr>
          <w:bottom w:val="single" w:sz="14" w:space="6" w:color="010860"/>
        </w:pBdr>
      </w:pPr>
      <w:r>
        <w:rPr>
          <w:rFonts w:ascii="Montserrat" w:hAnsi="Montserrat" w:cs="Montserrat"/>
          <w:b/>
          <w:i w:val="0"/>
          <w:color w:val="B8892B"/>
          <w:sz w:val="34"/>
        </w:rPr>
        <w:t xml:space="preserve">06  </w:t>
      </w:r>
      <w:r>
        <w:rPr>
          <w:rFonts w:ascii="Montserrat" w:hAnsi="Montserrat" w:cs="Montserrat"/>
          <w:b/>
          <w:i w:val="0"/>
          <w:color w:val="010860"/>
          <w:sz w:val="34"/>
        </w:rPr>
        <w:t>Diretrizes de marca e compliance</w:t>
      </w: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Identidade visual e tom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Cores: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navy #010860 dominado por branco, com dourado como acento. Logos vetoriais (navy e branca) fornecidas com o Manual da Marca.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Tipografia: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Montserrat (títulos) + Inter (corpo).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Fotografia: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o Manual </w:t>
      </w:r>
      <w:r>
        <w:rPr>
          <w:rFonts w:ascii="Inter" w:hAnsi="Inter" w:cs="Inter"/>
          <w:b/>
          <w:i w:val="0"/>
          <w:color w:val="010860"/>
          <w:sz w:val="21"/>
        </w:rPr>
        <w:t>proíbe banco de imagem genérico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(aperto de mão, pessoas de terno apontando gráficos). Preferimos sistema gráfico próprio de dados ou imagem sob medida no tom da marca.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Tom de voz: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consultivo, sóbrio, técnico-acessível. Autoridade sem arrogância; urgência sem sensacionalismo. Nada de “hack”, “segredo que o governo esconde”, emojis em excesso ou estética de infoproduto.</w:t>
      </w: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Compliance — leia antes de escrever qualquer copy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Natureza jurídica da operação: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parte dos serviços é prestada por sociedade de advocacia. Publicidade nesse contexto tem limites regulatórios (sobriedade, vedação à promessa de resultado e à captação mercantilizada). </w:t>
      </w:r>
      <w:r>
        <w:rPr>
          <w:rFonts w:ascii="Inter" w:hAnsi="Inter" w:cs="Inter"/>
          <w:b/>
          <w:i w:val="0"/>
          <w:color w:val="010860"/>
          <w:sz w:val="21"/>
        </w:rPr>
        <w:t>Toda copy passa por validação do nosso jurídico antes de veicular.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Números públicos: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percentuais de economia, valores compensados, “garantia” — </w:t>
      </w:r>
      <w:r>
        <w:rPr>
          <w:rFonts w:ascii="Inter" w:hAnsi="Inter" w:cs="Inter"/>
          <w:b/>
          <w:i w:val="0"/>
          <w:color w:val="010860"/>
          <w:sz w:val="21"/>
        </w:rPr>
        <w:t>proibidos sem validação formal</w:t>
      </w:r>
      <w:r>
        <w:rPr>
          <w:rFonts w:ascii="Inter" w:hAnsi="Inter" w:cs="Inter"/>
          <w:b w:val="0"/>
          <w:i w:val="0"/>
          <w:color w:val="1A1F36"/>
          <w:sz w:val="21"/>
        </w:rPr>
        <w:t>. Quando aprovados, sempre com contexto e ressalva.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Prova social: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nomes de clientes, prints e depoimentos só com autorização documentada.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LGPD: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formulários de captura com finalidade declarada e consentimento; dados de lead trafegam para nosso CRM sob nossa política de privacidade.</w:t>
      </w: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Fluxo de aprovação proposto</w:t>
      </w:r>
    </w:p>
    <w:p>
      <w:pPr>
        <w:spacing w:before="0" w:after="120" w:line="307" w:lineRule="auto"/>
        <w:jc w:val="left"/>
      </w:pPr>
      <w:r>
        <w:rPr>
          <w:rFonts w:ascii="Inter" w:hAnsi="Inter" w:cs="Inter"/>
          <w:b w:val="0"/>
          <w:i w:val="0"/>
          <w:color w:val="5A6072"/>
          <w:sz w:val="19"/>
        </w:rPr>
        <w:t>Sprint cria → Bruno Marinho (Geração de Leads) faz o primeiro crivo → validação jurídica quando houver claim técnico/numérico → aprovação final e veiculação. SLA de resposta do nosso lado a combinar no kickoff.</w:t>
      </w:r>
    </w:p>
    <w:p>
      <w:pPr>
        <w:keepNext/>
        <w:spacing w:before="360" w:after="40"/>
        <w:pBdr>
          <w:bottom w:val="single" w:sz="14" w:space="6" w:color="010860"/>
        </w:pBdr>
      </w:pPr>
      <w:r>
        <w:rPr>
          <w:rFonts w:ascii="Montserrat" w:hAnsi="Montserrat" w:cs="Montserrat"/>
          <w:b/>
          <w:i w:val="0"/>
          <w:color w:val="B8892B"/>
          <w:sz w:val="34"/>
        </w:rPr>
        <w:t xml:space="preserve">07  </w:t>
      </w:r>
      <w:r>
        <w:rPr>
          <w:rFonts w:ascii="Montserrat" w:hAnsi="Montserrat" w:cs="Montserrat"/>
          <w:b/>
          <w:i w:val="0"/>
          <w:color w:val="010860"/>
          <w:sz w:val="34"/>
        </w:rPr>
        <w:t>Materiais de apoio &amp; próximos passos</w:t>
      </w: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O que entregamos junto com este briefing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CEE8"/>
          <w:left w:val="single" w:sz="4" w:space="0" w:color="C7CEE8"/>
          <w:bottom w:val="single" w:sz="4" w:space="0" w:color="C7CEE8"/>
          <w:right w:val="single" w:sz="4" w:space="0" w:color="C7CEE8"/>
          <w:insideH w:val="single" w:sz="4" w:space="0" w:color="C7CEE8"/>
          <w:insideV w:val="single" w:sz="4" w:space="0" w:color="C7CEE8"/>
        </w:tblBorders>
        <w:tblLayout w:type="fixed"/>
      </w:tblPr>
      <w:tblGrid>
        <w:gridCol w:w="4730"/>
        <w:gridCol w:w="4730"/>
      </w:tblGrid>
      <w:tr>
        <w:trPr>
          <w:tblHeader w:val="true"/>
        </w:trPr>
        <w:tc>
          <w:tcPr>
            <w:tcW w:type="dxa" w:w="5040"/>
            <w:shd w:val="clear" w:color="auto" w:fill="01086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Material</w:t>
            </w:r>
          </w:p>
        </w:tc>
        <w:tc>
          <w:tcPr>
            <w:tcW w:type="dxa" w:w="4896"/>
            <w:shd w:val="clear" w:color="auto" w:fill="01086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Uso para a Sprint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Manual da Marca + logos vetoriais (SVG/PNG navy e branco)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Base obrigatória de qualquer criativo</w:t>
            </w:r>
          </w:p>
        </w:tc>
      </w:tr>
      <w:tr>
        <w:tc>
          <w:tcPr>
            <w:tcW w:type="dxa" w:w="5040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Apresentação comercial ICMS-SP (PDF)</w:t>
            </w:r>
          </w:p>
        </w:tc>
        <w:tc>
          <w:tcPr>
            <w:tcW w:type="dxa" w:w="4896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Linguagem, argumentos e visual do produto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Deck comercial DCF (PDF)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Narrativa do produto e provas técnicas</w:t>
            </w:r>
          </w:p>
        </w:tc>
      </w:tr>
      <w:tr>
        <w:tc>
          <w:tcPr>
            <w:tcW w:type="dxa" w:w="5040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Apresentação Transação Tributária PGFN (PDF)</w:t>
            </w:r>
          </w:p>
        </w:tc>
        <w:tc>
          <w:tcPr>
            <w:tcW w:type="dxa" w:w="4896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Referência de tom C-level da casa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FAQ técnico interno (DCF · ICMS · PGFN)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Fonte segura para copy — base legal e objeções reais</w:t>
            </w:r>
          </w:p>
        </w:tc>
      </w:tr>
      <w:tr>
        <w:tc>
          <w:tcPr>
            <w:tcW w:type="dxa" w:w="5040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Perfis Instagram (Lucro Ativo e Dr. Lucas)</w:t>
            </w:r>
          </w:p>
        </w:tc>
        <w:tc>
          <w:tcPr>
            <w:tcW w:type="dxa" w:w="4896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Histórico de conteúdo e presença atual</w:t>
            </w:r>
          </w:p>
        </w:tc>
      </w:tr>
    </w:tbl>
    <w:p>
      <w:pPr>
        <w:spacing w:after="40"/>
      </w:pPr>
    </w:p>
    <w:p>
      <w:pPr>
        <w:spacing w:before="0" w:after="120" w:line="307" w:lineRule="auto"/>
        <w:jc w:val="left"/>
      </w:pPr>
      <w:r>
        <w:rPr>
          <w:rFonts w:ascii="Inter" w:hAnsi="Inter" w:cs="Inter"/>
          <w:b w:val="0"/>
          <w:i/>
          <w:color w:val="5A6072"/>
          <w:sz w:val="18"/>
        </w:rPr>
        <w:t>Depoimentos, cases e prints de resultado: ainda não disponíveis para uso público — ver seção 04. Entram no roadmap de coleta.</w:t>
      </w: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Interlocutores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CEE8"/>
          <w:left w:val="single" w:sz="4" w:space="0" w:color="C7CEE8"/>
          <w:bottom w:val="single" w:sz="4" w:space="0" w:color="C7CEE8"/>
          <w:right w:val="single" w:sz="4" w:space="0" w:color="C7CEE8"/>
          <w:insideH w:val="single" w:sz="4" w:space="0" w:color="C7CEE8"/>
          <w:insideV w:val="single" w:sz="4" w:space="0" w:color="C7CEE8"/>
        </w:tblBorders>
        <w:tblLayout w:type="fixed"/>
      </w:tblPr>
      <w:tblGrid>
        <w:gridCol w:w="3154"/>
        <w:gridCol w:w="3154"/>
        <w:gridCol w:w="3154"/>
      </w:tblGrid>
      <w:tr>
        <w:trPr>
          <w:tblHeader w:val="true"/>
        </w:trPr>
        <w:tc>
          <w:tcPr>
            <w:tcW w:type="dxa" w:w="2448"/>
            <w:shd w:val="clear" w:color="auto" w:fill="01086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Papel</w:t>
            </w:r>
          </w:p>
        </w:tc>
        <w:tc>
          <w:tcPr>
            <w:tcW w:type="dxa" w:w="3456"/>
            <w:shd w:val="clear" w:color="auto" w:fill="01086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Quem</w:t>
            </w:r>
          </w:p>
        </w:tc>
        <w:tc>
          <w:tcPr>
            <w:tcW w:type="dxa" w:w="4032"/>
            <w:shd w:val="clear" w:color="auto" w:fill="01086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Sponsor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Dr. Lucas (CEO)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Direção estratégica e aprovação final</w:t>
            </w:r>
          </w:p>
        </w:tc>
      </w:tr>
      <w:tr>
        <w:tc>
          <w:tcPr>
            <w:tcW w:type="dxa" w:w="2448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Ponto focal operacional</w:t>
            </w:r>
          </w:p>
        </w:tc>
        <w:tc>
          <w:tcPr>
            <w:tcW w:type="dxa" w:w="3456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Bruno Marinho — Geração &amp; Distribuição de Leads</w:t>
            </w:r>
          </w:p>
        </w:tc>
        <w:tc>
          <w:tcPr>
            <w:tcW w:type="dxa" w:w="4032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Briefings, aprovações de rotina, feedback de qualidade dos leads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Comercial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Cleber Candia (CCO)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Capacidade de agenda dos executivos e retorno de conversão</w:t>
            </w:r>
          </w:p>
        </w:tc>
      </w:tr>
    </w:tbl>
    <w:p>
      <w:pPr>
        <w:spacing w:after="40"/>
      </w:pP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Próximos passos sugeridos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1.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Reunião de kickoff: Sprint apresenta leitura deste briefing + primeiras hipóteses de oferta/copy.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2.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Definição conjunta de metas numéricas (reuniões/mês, orçamento de mídia) —</w:t>
      </w:r>
      <w:r>
        <w:rPr>
          <w:rFonts w:ascii="Inter" w:hAnsi="Inter" w:cs="Inter"/>
          <w:b/>
          <w:i w:val="0"/>
          <w:color w:val="B8892B"/>
          <w:sz w:val="18"/>
        </w:rPr>
        <w:t xml:space="preserve"> [PARÂMETRO A VALIDAR] </w:t>
      </w:r>
      <w:r>
        <w:rPr>
          <w:rFonts w:ascii="Inter" w:hAnsi="Inter" w:cs="Inter"/>
          <w:b w:val="0"/>
          <w:i w:val="0"/>
          <w:color w:val="1A1F36"/>
          <w:sz w:val="21"/>
        </w:rPr>
        <w:t>antes do kickoff.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3.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Estruturação do destino do clique + instrumentação de mensuração com nossa TI.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4.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Rodada 1 de campanhas com criativos aprovados → ciclo quinzenal de otimização com dados do CRM.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61"/>
      </w:tblGrid>
      <w:tr>
        <w:tc>
          <w:tcPr>
            <w:tcW w:type="dxa" w:w="9936"/>
            <w:shd w:val="clear" w:color="auto" w:fill="FBF4E6"/>
            <w:tcBorders>
              <w:left w:val="single" w:sz="26" w:space="0" w:color="B8892B"/>
            </w:tcBorders>
          </w:tcPr>
          <w:p>
            <w:pPr>
              <w:spacing w:after="60" w:before="60"/>
            </w:pPr>
            <w:r/>
            <w:r>
              <w:rPr>
                <w:rFonts w:ascii="Montserrat" w:hAnsi="Montserrat" w:cs="Montserrat"/>
                <w:b/>
                <w:i w:val="0"/>
                <w:color w:val="B8892B"/>
                <w:sz w:val="20"/>
              </w:rPr>
              <w:t>Resumo em uma frase</w:t>
            </w:r>
          </w:p>
          <w:p>
            <w:pPr>
              <w:spacing w:after="60" w:line="300" w:lineRule="auto"/>
            </w:pP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O canal já provou que funciona — teve ótimos resultados por um bom período. Pausamos para reestruturar quando o comparecimento e a conversão caíram; agora ele volta com oferta e copy que </w:t>
            </w: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filtram o decisor certo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 (Lucro Real/Presumido), medidos por </w:t>
            </w: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reunião qualificada realizada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 — com a marca sóbria e o compliance de uma operação jurídico-tributária.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10"/>
      <w:footerReference w:type="default" r:id="rId11"/>
      <w:pgSz w:w="11909" w:h="16834"/>
      <w:pgMar w:top="1296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 w:cs="Inter"/>
        <w:b w:val="0"/>
        <w:i w:val="0"/>
        <w:color w:val="5A6072"/>
        <w:sz w:val="16"/>
      </w:rPr>
      <w:t>Lucro Ativo · @meulucroativo · www.meulucroativo.com.br — Confidencial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ontserrat" w:hAnsi="Montserrat" w:cs="Montserrat"/>
        <w:b/>
        <w:i w:val="0"/>
        <w:color w:val="5A6072"/>
        <w:sz w:val="15"/>
      </w:rPr>
      <w:t>LUCRO ATIVO — BRIEFING ESTRATÉGICO · SPRINT · TRÁFEGO PAGO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Inter" w:hAnsi="Inter"/>
      <w:color w:val="1A1F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