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fa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2"/>
          <w:footerReference w:type="first" r:id="rId13"/>
          <w:footerReference w:type="even" r:id="rId14"/>
          <w:headerReference w:type="default" r:id="rId15"/>
          <w:headerReference w:type="first" r:id="rId16"/>
          <w:pgSz w:w="11906" w:h="16838"/>
          <w:pgMar w:top="0" w:right="0" w:bottom="0" w:left="0" w:header="340" w:footer="340" w:gutter="0"/>
          <w:cols w:space="720"/>
          <w:docGrid w:linePitch="360"/>
        </w:sectPr>
      </w:pPr>
    </w:p>
    <w:p>
      <w:pPr>
        <w:pStyle w:val="Heading2"/>
      </w:pPr>
      <w:r>
        <w:t>Ficha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154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48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Título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FAQ de Produtos — Guia do Executivo de Vendas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Natureza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Material de capacitação interna (não é material de cliente)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Produtos cobertos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Direito Creditório Federal (DCF) · Compensação de ICMS-SP · Transação Tributária (PGFN) + créditos federais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Finalidade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Treinar o time comercial — base técnica e jurídica para conduzir a venda e responder objeções</w:t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Próximo passo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Após validação técnica/jurídica, gerar as versões com foco no cliente</w:t>
            </w:r>
          </w:p>
        </w:tc>
      </w:tr>
      <w:tr>
        <w:tc>
          <w:tcPr>
            <w:tcW w:type="dxa" w:w="2154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Versão / Data</w:t>
            </w:r>
          </w:p>
        </w:tc>
        <w:tc>
          <w:tcPr>
            <w:tcW w:type="dxa" w:w="748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Versão 1.3 · Setembro de 2026</w:t>
            </w:r>
            <w:r>
              <w:rPr>
                <w:rFonts w:ascii="Inter" w:hAnsi="Inter" w:cs="Inter"/>
                <w:b w:val="0"/>
                <w:color w:val="141414"/>
                <w:sz w:val="18"/>
              </w:rPr>
            </w:r>
          </w:p>
        </w:tc>
      </w:tr>
      <w:tr>
        <w:tc>
          <w:tcPr>
            <w:tcW w:type="dxa" w:w="2154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8"/>
              </w:rPr>
              <w:t>Base normativa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8"/>
              </w:rPr>
              <w:t>Legislação citada e verificada em fontes oficiais (lei, portaria, artigo) — listada ao fim de cada capítulo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REGRA DE OURO DA CAPACITAÇÃO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>Todo número comercial — percentual de desconto, prazo, honorário, ROI — é PARÂMETRO A VALIDAR (exceção definida pela diretoria: o deságio do DCF é fixo em 20%).</w:t>
            </w:r>
            <w:r>
              <w:rPr>
                <w:rFonts w:ascii="Inter" w:hAnsi="Inter"/>
                <w:b/>
                <w:i w:val="0"/>
                <w:color w:val="7A5A1E"/>
                <w:sz w:val="19"/>
              </w:rPr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Na voz da Lucro Ativo, diante do cliente, todo número vira compromisso. </w:t>
            </w:r>
            <w:r>
              <w:rPr>
                <w:rFonts w:ascii="Inter" w:hAnsi="Inter"/>
                <w:b/>
                <w:i w:val="0"/>
                <w:color w:val="222A28"/>
                <w:sz w:val="19"/>
              </w:rPr>
              <w:t>Nunca cite número de cabeça: o diagnóstico define a conta.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O que se garante ao cliente é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rigor técnico e condução especializada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— não resultado, prazo ou percentual. Cada citação legal deste material foi verificada; a base normativa está listada ao fim de cada capítulo.</w:t>
            </w:r>
          </w:p>
        </w:tc>
      </w:tr>
    </w:tbl>
    <w:p>
      <w:pPr>
        <w:spacing w:after="80"/>
      </w:pP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COMO ESTE GUIA ESTÁ ORGANIZADO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Cada capítulo é o FAQ de um produto, na mesma estrutura: </w:t>
      </w:r>
      <w:r>
        <w:rPr>
          <w:rFonts w:ascii="Inter" w:hAnsi="Inter"/>
          <w:b/>
          <w:i w:val="0"/>
          <w:color w:val="010860"/>
          <w:sz w:val="20"/>
        </w:rPr>
        <w:t>conceito → base legal → como a operação funciona → quem se qualifica → objeções e respostas → exemplo ilustrativo → limites/riscos → glossário</w:t>
      </w:r>
      <w:r>
        <w:rPr>
          <w:rFonts w:ascii="Inter" w:hAnsi="Inter"/>
          <w:b w:val="0"/>
          <w:i w:val="0"/>
          <w:color w:val="141414"/>
          <w:sz w:val="20"/>
        </w:rPr>
        <w:t xml:space="preserve">. As perguntas em </w:t>
      </w:r>
      <w:r>
        <w:rPr>
          <w:rFonts w:ascii="Inter" w:hAnsi="Inter"/>
          <w:b/>
          <w:i w:val="0"/>
          <w:color w:val="010860"/>
          <w:sz w:val="20"/>
        </w:rPr>
        <w:t>azul com ▸</w:t>
      </w:r>
      <w:r>
        <w:rPr>
          <w:rFonts w:ascii="Inter" w:hAnsi="Inter"/>
          <w:b w:val="0"/>
          <w:i w:val="0"/>
          <w:color w:val="141414"/>
          <w:sz w:val="20"/>
        </w:rPr>
        <w:t xml:space="preserve"> são as dúvidas que o cliente costuma trazer — estude a resposta, não decore o número.</w:t>
      </w:r>
    </w:p>
    <w:p>
      <w:pPr>
        <w:pStyle w:val="Heading1"/>
      </w:pPr>
      <w:r>
        <w:t>Sumário Geral</w:t>
      </w:r>
    </w:p>
    <w:p>
      <w:pPr>
        <w:spacing w:after="120" w:before="0"/>
      </w:pPr>
      <w:r>
        <w:rPr>
          <w:rFonts w:ascii="Inter" w:hAnsi="Inter"/>
          <w:b w:val="0"/>
          <w:i/>
          <w:color w:val="5A5A5A"/>
          <w:sz w:val="18"/>
        </w:rPr>
        <w:t>Sumário automático — no Word, clique com o botão direito e selecione "Atualizar campo" para gerar a paginação.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r>
        <w:br w:type="page"/>
      </w:r>
    </w:p>
    <w:p>
      <w:pPr>
        <w:pStyle w:val="Heading1"/>
      </w:pPr>
      <w:r>
        <w:t>Capítulo 1 · Direito Creditório Federal (DCF)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PRODUTO: ENCONTRO DE CONTAS TRIBUTÁRIO FEDERAL — COMPENSAÇÃO MENSAL DOS DÉBITOS VINCENDOS COM CRÉDITO JUDICIAL TRANSITADO EM JULGADO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Classificação: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Interno / Treinamento. Não é material de cliente. Denso e técnico por natureza.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Aviso: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todo número comercial (prazo, ROI e demais percentuais — exceto o deságio do DCF, fixo em 20%) está marcado como (PARÂMETRO A VALIDAR)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e deve ser confirmado com a mesa de estruturação antes de qualquer fala ao cliente. Nenhuma citação legal deste documento foi inventada — a base normativa está verificada e listada ao final.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BLOCO 1 — CONCEITO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1. O que é, em uma frase, o DCF da Lucro Ativo?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um </w:t>
      </w:r>
      <w:r>
        <w:rPr>
          <w:rFonts w:ascii="Inter" w:hAnsi="Inter"/>
          <w:b/>
          <w:i w:val="0"/>
          <w:color w:val="010860"/>
          <w:sz w:val="20"/>
        </w:rPr>
        <w:t xml:space="preserve">encontro de contas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: a compensação administrativa, </w:t>
      </w:r>
      <w:r>
        <w:rPr>
          <w:rFonts w:ascii="Inter" w:hAnsi="Inter"/>
          <w:b/>
          <w:i w:val="0"/>
          <w:color w:val="010860"/>
          <w:sz w:val="20"/>
        </w:rPr>
        <w:t xml:space="preserve">mensal e recorrente</w:t>
      </w:r>
      <w:r>
        <w:rPr>
          <w:rFonts w:ascii="Inter" w:hAnsi="Inter"/>
          <w:b w:val="0"/>
          <w:i w:val="0"/>
          <w:color w:val="141414"/>
          <w:sz w:val="20"/>
        </w:rPr>
        <w:t xml:space="preserve">, dos débitos federais vincendos do cliente (PIS, COFINS, IRPJ, CSLL e demais tributos administrados pela RFB) contra </w:t>
      </w:r>
      <w:r>
        <w:rPr>
          <w:rFonts w:ascii="Inter" w:hAnsi="Inter"/>
          <w:b/>
          <w:i w:val="0"/>
          <w:color w:val="010860"/>
          <w:sz w:val="20"/>
        </w:rPr>
        <w:t xml:space="preserve">fração de um crédito judicial transitado em julgado</w:t>
      </w:r>
      <w:r>
        <w:rPr>
          <w:rFonts w:ascii="Inter" w:hAnsi="Inter"/>
          <w:b w:val="0"/>
          <w:i w:val="0"/>
          <w:color w:val="141414"/>
          <w:sz w:val="20"/>
        </w:rPr>
        <w:t xml:space="preserve">, na qual o cliente é habilitado no polo ativo da ação de origem. O cliente paga 80% do valor de face de cada tributo compensado e retém </w:t>
      </w:r>
      <w:r>
        <w:rPr>
          <w:rFonts w:ascii="Inter" w:hAnsi="Inter"/>
          <w:b/>
          <w:i w:val="0"/>
          <w:color w:val="010860"/>
          <w:sz w:val="20"/>
        </w:rPr>
        <w:t xml:space="preserve">20% como economia direta de caixa</w:t>
      </w:r>
      <w:r>
        <w:rPr>
          <w:rFonts w:ascii="Inter" w:hAnsi="Inter"/>
          <w:b w:val="0"/>
          <w:i w:val="0"/>
          <w:color w:val="141414"/>
          <w:sz w:val="20"/>
        </w:rPr>
        <w:t xml:space="preserve"> — percentual fixo do modelo: o deságio do DCF é sempre de 20%.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2. O que é o "direito creditório federal" da operação?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o crédito tributário federal </w:t>
      </w:r>
      <w:r>
        <w:rPr>
          <w:rFonts w:ascii="Inter" w:hAnsi="Inter"/>
          <w:b/>
          <w:i w:val="0"/>
          <w:color w:val="010860"/>
          <w:sz w:val="20"/>
        </w:rPr>
        <w:t xml:space="preserve">líquido e certo</w:t>
      </w:r>
      <w:r>
        <w:rPr>
          <w:rFonts w:ascii="Inter" w:hAnsi="Inter"/>
          <w:b w:val="0"/>
          <w:i w:val="0"/>
          <w:color w:val="141414"/>
          <w:sz w:val="20"/>
        </w:rPr>
        <w:t xml:space="preserve">, decorrente de decisão judicial </w:t>
      </w:r>
      <w:r>
        <w:rPr>
          <w:rFonts w:ascii="Inter" w:hAnsi="Inter"/>
          <w:b/>
          <w:i w:val="0"/>
          <w:color w:val="010860"/>
          <w:sz w:val="20"/>
        </w:rPr>
        <w:t xml:space="preserve">transitada em julgado</w:t>
      </w:r>
      <w:r>
        <w:rPr>
          <w:rFonts w:ascii="Inter" w:hAnsi="Inter"/>
          <w:b w:val="0"/>
          <w:i w:val="0"/>
          <w:color w:val="141414"/>
          <w:sz w:val="20"/>
        </w:rPr>
        <w:t xml:space="preserve">, com </w:t>
      </w:r>
      <w:r>
        <w:rPr>
          <w:rFonts w:ascii="Inter" w:hAnsi="Inter"/>
          <w:b/>
          <w:i w:val="0"/>
          <w:color w:val="010860"/>
          <w:sz w:val="20"/>
        </w:rPr>
        <w:t xml:space="preserve">escrituração formal aceita pelo juízo de origem</w:t>
      </w:r>
      <w:r>
        <w:rPr>
          <w:rFonts w:ascii="Inter" w:hAnsi="Inter"/>
          <w:b w:val="0"/>
          <w:i w:val="0"/>
          <w:color w:val="141414"/>
          <w:sz w:val="20"/>
        </w:rPr>
        <w:t xml:space="preserve"> — o que cumpre integralmente o art. 170-A do CTN e o torna apto à compensação administrativa. O crédito </w:t>
      </w:r>
      <w:r>
        <w:rPr>
          <w:rFonts w:ascii="Inter" w:hAnsi="Inter"/>
          <w:b/>
          <w:i w:val="0"/>
          <w:color w:val="010860"/>
          <w:sz w:val="20"/>
        </w:rPr>
        <w:t xml:space="preserve">já existe e é anterior ao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: a operação não depende de o cliente ter crédito próprio nem ação judicial em curso.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3. De quem é o crédito? Qual o papel do cliente e o da Lucro Ativo?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crédito pertence à </w:t>
      </w:r>
      <w:r>
        <w:rPr>
          <w:rFonts w:ascii="Inter" w:hAnsi="Inter"/>
          <w:b/>
          <w:i w:val="0"/>
          <w:color w:val="010860"/>
          <w:sz w:val="20"/>
        </w:rPr>
        <w:t xml:space="preserve">estrutura cedente da operação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 (fornecedor do crédito, homologado pela Lucro Ativo — a identificação institucional do cedente é informação interna e </w:t>
      </w:r>
      <w:r>
        <w:rPr>
          <w:rFonts w:ascii="Inter" w:hAnsi="Inter"/>
          <w:b/>
          <w:i w:val="0"/>
          <w:color w:val="010860"/>
          <w:sz w:val="20"/>
        </w:rPr>
        <w:t xml:space="preserve">não é citada em material de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). O cliente é incluído como </w:t>
      </w:r>
      <w:r>
        <w:rPr>
          <w:rFonts w:ascii="Inter" w:hAnsi="Inter"/>
          <w:b/>
          <w:i w:val="0"/>
          <w:color w:val="010860"/>
          <w:sz w:val="20"/>
        </w:rPr>
        <w:t xml:space="preserve">titular de fração do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por cessão formal (CC, arts. 286–298) e petição de habilitação no processo de origem — é isso que lhe confere legitimidade processual e administrativa para usar o crédito perante a RFB. A </w:t>
      </w:r>
      <w:r>
        <w:rPr>
          <w:rFonts w:ascii="Inter" w:hAnsi="Inter"/>
          <w:b/>
          <w:i w:val="0"/>
          <w:color w:val="010860"/>
          <w:sz w:val="20"/>
        </w:rPr>
        <w:t xml:space="preserve">Lucro Ativo conduz a operação de ponta a ponta</w:t>
      </w:r>
      <w:r>
        <w:rPr>
          <w:rFonts w:ascii="Inter" w:hAnsi="Inter"/>
          <w:b w:val="0"/>
          <w:i w:val="0"/>
          <w:color w:val="141414"/>
          <w:sz w:val="20"/>
        </w:rPr>
        <w:t xml:space="preserve">, com apoio de escritório contábil parceiro: diagnóstico, cessão, habilitação, protocolo do pedido-mãe, Dcomps mensais e defesa administrativa/judicial quando necessária.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4. Direito creditório é o mesmo que precatório?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Não — e é só para marcar essa diferença que o precatório aparece neste FAQ.</w:t>
      </w:r>
      <w:r>
        <w:rPr>
          <w:rFonts w:ascii="Inter" w:hAnsi="Inter"/>
          <w:b w:val="0"/>
          <w:i w:val="0"/>
          <w:color w:val="141414"/>
          <w:sz w:val="20"/>
        </w:rPr>
        <w:t xml:space="preserve"> No precatório, a União emite ordem de pagamento e o credor espera a fila. No DCF </w:t>
      </w:r>
      <w:r>
        <w:rPr>
          <w:rFonts w:ascii="Inter" w:hAnsi="Inter"/>
          <w:b/>
          <w:i w:val="0"/>
          <w:color w:val="010860"/>
          <w:sz w:val="20"/>
        </w:rPr>
        <w:t xml:space="preserve">não há ordem de pagamento nem fila</w:t>
      </w:r>
      <w:r>
        <w:rPr>
          <w:rFonts w:ascii="Inter" w:hAnsi="Inter"/>
          <w:b w:val="0"/>
          <w:i w:val="0"/>
          <w:color w:val="141414"/>
          <w:sz w:val="20"/>
        </w:rPr>
        <w:t xml:space="preserve">: o efeito é a extinção do débito tributário do cliente por compensação administrativa (CTN, art. 156, II). Na reunião, cite o precatório apenas de forma pontual e superficial, para explicar o que a operação </w:t>
      </w:r>
      <w:r>
        <w:rPr>
          <w:rFonts w:ascii="Inter" w:hAnsi="Inter"/>
          <w:b/>
          <w:i w:val="0"/>
          <w:color w:val="010860"/>
          <w:sz w:val="20"/>
        </w:rPr>
        <w:t xml:space="preserve">não é</w:t>
      </w:r>
      <w:r>
        <w:rPr>
          <w:rFonts w:ascii="Inter" w:hAnsi="Inter"/>
          <w:b w:val="0"/>
          <w:i w:val="0"/>
          <w:color w:val="141414"/>
          <w:sz w:val="20"/>
        </w:rPr>
        <w:t xml:space="preserve">. Aprofundamento é da área técnica.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>▸  5. Qual é a base legal da operação? É a Lei 9.430/96?</w:t>
      </w:r>
    </w:p>
    <w:p>
      <w:pPr>
        <w:spacing w:after="120" w:before="0"/>
      </w:pPr>
      <w:r>
        <w:rPr>
          <w:rFonts w:ascii="Inter" w:hAnsi="Inter"/>
          <w:b w:val="0"/>
          <w:color w:val="141414"/>
          <w:sz w:val="20"/>
        </w:rPr>
        <w:t xml:space="preserve">Não. A base da operação é o </w:t>
      </w:r>
      <w:r>
        <w:rPr>
          <w:rFonts w:ascii="Inter" w:hAnsi="Inter"/>
          <w:b/>
          <w:color w:val="010860"/>
          <w:sz w:val="20"/>
        </w:rPr>
        <w:t>encontro de contas inaugurado pela EC 113/2021</w:t>
      </w:r>
      <w:r>
        <w:rPr>
          <w:rFonts w:ascii="Inter" w:hAnsi="Inter"/>
          <w:b w:val="0"/>
          <w:color w:val="141414"/>
          <w:sz w:val="20"/>
        </w:rPr>
        <w:t xml:space="preserve">, que incluiu o §11 no art. 100 da CF: a oferta de créditos líquidos e certos, </w:t>
      </w:r>
      <w:r>
        <w:rPr>
          <w:rFonts w:ascii="Inter" w:hAnsi="Inter"/>
          <w:b/>
          <w:color w:val="010860"/>
          <w:sz w:val="20"/>
        </w:rPr>
        <w:t>próprios ou adquiridos de terceiros</w:t>
      </w:r>
      <w:r>
        <w:rPr>
          <w:rFonts w:ascii="Inter" w:hAnsi="Inter"/>
          <w:b w:val="0"/>
          <w:color w:val="141414"/>
          <w:sz w:val="20"/>
        </w:rPr>
        <w:t xml:space="preserve">, decorrentes de decisões judiciais transitadas em julgado, para quitação de débitos perante a União — regulamentada pelos normativos posteriores (Decreto 11.249/2022, Portaria PGFN 10.826/2022 e atos correlatos). A compensação comum da Lei 9.430/96 (art. 74) é o rito de crédito próprio do contribuinte e </w:t>
      </w:r>
      <w:r>
        <w:rPr>
          <w:rFonts w:ascii="Inter" w:hAnsi="Inter"/>
          <w:b/>
          <w:color w:val="010860"/>
          <w:sz w:val="20"/>
        </w:rPr>
        <w:t>não é a base do DCF</w:t>
      </w:r>
      <w:r>
        <w:rPr>
          <w:rFonts w:ascii="Inter" w:hAnsi="Inter"/>
          <w:b w:val="0"/>
          <w:color w:val="141414"/>
          <w:sz w:val="20"/>
        </w:rPr>
        <w:t xml:space="preserve"> — o encontro de contas mensal opera com o cliente já habilitado como titular de fração do crédito.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6. Então é "compensação com crédito de terceiro"? Isso não é vedado?</w:t>
      </w:r>
    </w:p>
    <w:p>
      <w:pPr>
        <w:spacing w:after="120" w:before="0"/>
      </w:pPr>
      <w:r>
        <w:rPr>
          <w:rFonts w:ascii="Inter" w:hAnsi="Inter"/>
          <w:b w:val="0"/>
          <w:color w:val="141414"/>
          <w:sz w:val="20"/>
        </w:rPr>
        <w:t xml:space="preserve">Essa é a pergunta que define o produto — e a resposta é </w:t>
      </w:r>
      <w:r>
        <w:rPr>
          <w:rFonts w:ascii="Inter" w:hAnsi="Inter"/>
          <w:b/>
          <w:color w:val="010860"/>
          <w:sz w:val="20"/>
        </w:rPr>
        <w:t>não</w:t>
      </w:r>
      <w:r>
        <w:rPr>
          <w:rFonts w:ascii="Inter" w:hAnsi="Inter"/>
          <w:b w:val="0"/>
          <w:color w:val="141414"/>
          <w:sz w:val="20"/>
        </w:rPr>
        <w:t xml:space="preserve">. A vedação do art. 74, §12, da Lei 9.430/96 alcança quem tenta compensar crédito alheio pelo </w:t>
      </w:r>
      <w:r>
        <w:rPr>
          <w:rFonts w:ascii="Inter" w:hAnsi="Inter"/>
          <w:b/>
          <w:color w:val="010860"/>
          <w:sz w:val="20"/>
        </w:rPr>
        <w:t>rito comum</w:t>
      </w:r>
      <w:r>
        <w:rPr>
          <w:rFonts w:ascii="Inter" w:hAnsi="Inter"/>
          <w:b w:val="0"/>
          <w:color w:val="141414"/>
          <w:sz w:val="20"/>
        </w:rPr>
        <w:t xml:space="preserve"> — que não é o rito do DCF. Aqui, antes de qualquer declaração de compensação, o cliente é </w:t>
      </w:r>
      <w:r>
        <w:rPr>
          <w:rFonts w:ascii="Inter" w:hAnsi="Inter"/>
          <w:b/>
          <w:color w:val="010860"/>
          <w:sz w:val="20"/>
        </w:rPr>
        <w:t>formalmente habilitado no polo ativo</w:t>
      </w:r>
      <w:r>
        <w:rPr>
          <w:rFonts w:ascii="Inter" w:hAnsi="Inter"/>
          <w:b w:val="0"/>
          <w:color w:val="141414"/>
          <w:sz w:val="20"/>
        </w:rPr>
        <w:t xml:space="preserve"> do processo de origem como titular de fração do crédito — ele compensa crédito </w:t>
      </w:r>
      <w:r>
        <w:rPr>
          <w:rFonts w:ascii="Inter" w:hAnsi="Inter"/>
          <w:b/>
          <w:color w:val="010860"/>
          <w:sz w:val="20"/>
        </w:rPr>
        <w:t>do qual é titular</w:t>
      </w:r>
      <w:r>
        <w:rPr>
          <w:rFonts w:ascii="Inter" w:hAnsi="Inter"/>
          <w:b w:val="0"/>
          <w:color w:val="141414"/>
          <w:sz w:val="20"/>
        </w:rPr>
        <w:t xml:space="preserve"> por habilitação, com assento constitucional expresso para créditos adquiridos de terceiros (CF, art. 100, §11 — EC 113/2021). A operação é o exercício de direito legalmente previsto (CF, art. 100, §11; CTN, arts. 156, II, 170 e 170-A), em procedimento administrativo regular.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>
              <w:t>⬧ O PONTO MAIS SENSÍVEL DO PRODUTO — LEIA DUAS VEZES</w:t>
            </w:r>
            <w:r>
              <w:rPr>
                <w:rFonts w:ascii="Montserrat" w:hAnsi="Montserrat"/>
                <w:b/>
                <w:color w:val="7A5A1E"/>
                <w:sz w:val="21"/>
              </w:rPr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>O DCF NÃO é "compensação com crédito de terceiro". Antes de qualquer PER/DCOMP, o cliente é habilitado no polo ativo do processo de origem como titular de fração do crédito, por cessão formal (CC, arts. 286–298) e petição de habilitação. É essa habilitação prévia que separa a operação das ofertas irregulares de "créditos de terceiros" contra as quais a Receita Federal alerta. O executivo nunca improvisa nesse ponto: se o cliente aprofundar, envolva a área técnica — há rito de defesa e precedentes específicos (Tema 736/STF; decisões TRF3/TRF4/TRF5, 2024–2026).</w:t>
            </w:r>
            <w:r>
              <w:rPr>
                <w:rFonts w:ascii="Inter" w:hAnsi="Inter"/>
                <w:b/>
                <w:i w:val="0"/>
                <w:color w:val="7A5A1E"/>
                <w:sz w:val="19"/>
              </w:rPr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</w:r>
            <w:r>
              <w:rPr>
                <w:rFonts w:ascii="Inter" w:hAnsi="Inter"/>
                <w:b/>
                <w:i w:val="0"/>
                <w:color w:val="222A28"/>
                <w:sz w:val="19"/>
              </w:rPr>
            </w:r>
          </w:p>
        </w:tc>
      </w:tr>
    </w:tbl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Síntese das distinções — a tabela abaixo resume o que a operação NÃO é: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26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t>Instituto vizinho</w:t>
            </w:r>
            <w:r>
              <w:rPr>
                <w:rFonts w:ascii="Montserrat" w:hAnsi="Montserrat" w:cs="Montserrat"/>
                <w:b/>
                <w:color w:val="FFFFFF"/>
                <w:sz w:val="18"/>
              </w:rPr>
            </w:r>
          </w:p>
        </w:tc>
        <w:tc>
          <w:tcPr>
            <w:tcW w:type="dxa" w:w="368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t>Como funciona</w:t>
            </w:r>
            <w:r>
              <w:rPr>
                <w:rFonts w:ascii="Montserrat" w:hAnsi="Montserrat" w:cs="Montserrat"/>
                <w:b/>
                <w:color w:val="FFFFFF"/>
                <w:sz w:val="18"/>
              </w:rPr>
            </w:r>
          </w:p>
        </w:tc>
        <w:tc>
          <w:tcPr>
            <w:tcW w:type="dxa" w:w="368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t>Por que o DCF não é isso</w:t>
            </w:r>
            <w:r>
              <w:rPr>
                <w:rFonts w:ascii="Montserrat" w:hAnsi="Montserrat" w:cs="Montserrat"/>
                <w:b/>
                <w:color w:val="FFFFFF"/>
                <w:sz w:val="18"/>
              </w:rPr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Precatório (recebimento em espécie)</w:t>
            </w:r>
            <w:r>
              <w:rPr>
                <w:rFonts w:ascii="Inter" w:hAnsi="Inter" w:cs="Inter"/>
                <w:b/>
                <w:color w:val="010860"/>
                <w:sz w:val="17"/>
              </w:rPr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Requisição de pagamento expedida pela Justiça (CF, art. 100); o credor aguarda a ordem cronológica para receber da União.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No DCF a União não emite ordem de pagamento a ninguém: o efeito é a extinção do débito do cliente por compensação administrativa (CTN, art. 156, II).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rPr>
                <w:rFonts w:ascii="Inter" w:hAnsi="Inter"/>
                <w:b/>
                <w:color w:val="010860"/>
                <w:sz w:val="17"/>
              </w:rPr>
              <w:t>Compensação comum da Lei 9.430/96 (art. 74)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rPr>
                <w:b w:val="0"/>
              </w:rPr>
              <w:t xml:space="preserve">Rito ordinário de compensação de crédito </w:t>
            </w:r>
            <w:r>
              <w:rPr>
                <w:b/>
              </w:rPr>
              <w:t>próprio</w:t>
            </w:r>
            <w:r>
              <w:rPr>
                <w:b w:val="0"/>
              </w:rPr>
              <w:t xml:space="preserve"> do contribuinte via PER/DCOMP; o §12 veda compensar crédito de terceiro por essa via.</w:t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rPr>
                <w:b w:val="0"/>
              </w:rPr>
              <w:t xml:space="preserve">O DCF não corre pelo rito comum do art. 74 — seu assento é o </w:t>
            </w:r>
            <w:r>
              <w:rPr>
                <w:b/>
              </w:rPr>
              <w:t>encontro de contas da EC 113/2021 (CF, art. 100, §11)</w:t>
            </w:r>
            <w:r>
              <w:rPr>
                <w:b w:val="0"/>
              </w:rPr>
              <w:t>, que admite créditos próprios ou adquiridos de terceiros, com o cliente habilitado como titular de fração.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"Compra de crédito de terceiro" para compensar</w:t>
            </w:r>
            <w:r>
              <w:rPr>
                <w:rFonts w:ascii="Inter" w:hAnsi="Inter" w:cs="Inter"/>
                <w:b/>
                <w:color w:val="010860"/>
                <w:sz w:val="17"/>
              </w:rPr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Prática irregular: compensar pelo art. 74 crédito alheio, sem habilitação — alvo de alertas públicos da RFB.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No DCF o cliente é habilitado no polo ativo como titular de fração do crédito (cessão formal + petição no juízo de origem) antes de qualquer Dcomp.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</w:tr>
      <w:tr>
        <w:trPr>
          <w:cantSplit/>
        </w:trPr>
        <w:tc>
          <w:tcPr>
            <w:tcW w:type="dxa" w:w="226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Planejamento agressivo / elisão abusiva</w:t>
            </w:r>
            <w:r>
              <w:rPr>
                <w:rFonts w:ascii="Inter" w:hAnsi="Inter" w:cs="Inter"/>
                <w:b/>
                <w:color w:val="010860"/>
                <w:sz w:val="17"/>
              </w:rPr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>Estruturas artificiais, simulação ou dissimulação para suprimir tributo.</w:t>
            </w:r>
            <w:r>
              <w:rPr>
                <w:rFonts w:ascii="Inter" w:hAnsi="Inter" w:cs="Inter"/>
                <w:b w:val="0"/>
                <w:color w:val="141414"/>
                <w:sz w:val="17"/>
              </w:rPr>
            </w:r>
          </w:p>
        </w:tc>
        <w:tc>
          <w:tcPr>
            <w:tcW w:type="dxa" w:w="368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rPr>
                <w:b w:val="0"/>
              </w:rPr>
              <w:t>O DCF exerce direito previsto na Constituição e na lei (CF, art. 100, §11 — EC 113/2021; CTN, art. 170), com crédito transitado em julgado e escrituração aceita pelo juízo — sem simulação. O Tema 736/STF protege o exercício do direito creditório.</w:t>
            </w:r>
          </w:p>
        </w:tc>
      </w:tr>
    </w:tbl>
    <w:p>
      <w:pPr>
        <w:pStyle w:val="Heading1"/>
      </w:pPr>
      <w:r>
        <w:t xml:space="preserve">BLOCO 2 — BASE LEGAL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7. Quais âncoras legais o executivo cita (sem detalhar o rito)?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Código Civil, arts. 286–298</w:t>
      </w:r>
      <w:r>
        <w:rPr>
          <w:rFonts w:ascii="Inter" w:hAnsi="Inter"/>
          <w:b w:val="0"/>
          <w:i w:val="0"/>
          <w:color w:val="141414"/>
          <w:sz w:val="19"/>
        </w:rPr>
        <w:t xml:space="preserve"> — cessão de crédito: a matriz civil da habilitação do cliente na cadeia do crédito; arts. 368–369 — a compensação como instituto.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CTN, arts. 156, II, 170 e 170-A</w:t>
      </w:r>
      <w:r>
        <w:rPr>
          <w:rFonts w:ascii="Inter" w:hAnsi="Inter"/>
          <w:b w:val="0"/>
          <w:i w:val="0"/>
          <w:color w:val="141414"/>
          <w:sz w:val="19"/>
        </w:rPr>
        <w:t xml:space="preserve"> — extinção do crédito tributário pela compensação; compensação de crédito líquido e certo; exigência do trânsito em julgado (integralmente cumprida na operação).</w:t>
      </w:r>
    </w:p>
    <w:p>
      <w:pPr>
        <w:pStyle w:val="ListBullet"/>
        <w:spacing w:after="60" w:before="0"/>
      </w:pPr>
      <w:r>
        <w:rPr>
          <w:rFonts w:ascii="Inter" w:hAnsi="Inter"/>
          <w:b/>
          <w:color w:val="010860"/>
          <w:sz w:val="19"/>
        </w:rPr>
        <w:t>CF/88, art. 100, §11 (EC 113/2021)</w:t>
      </w:r>
      <w:r>
        <w:rPr>
          <w:rFonts w:ascii="Inter" w:hAnsi="Inter"/>
          <w:b w:val="0"/>
          <w:color w:val="141414"/>
          <w:sz w:val="19"/>
        </w:rPr>
        <w:t xml:space="preserve"> — o assento constitucional do encontro de contas: oferta de créditos líquidos e certos, próprios ou adquiridos de terceiros, decorrentes de decisões judiciais transitadas em julgado, para quitação de débitos perante a União. Regulamentação posterior: Decreto 11.249/2022, Portaria PGFN 10.826/2022 e atos correlatos.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IN RFB 2.055/2021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procedimento de restituição, ressarcimento e compensação perante a RFB.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9.250/95, art. 39, §4º</w:t>
      </w:r>
      <w:r>
        <w:rPr>
          <w:rFonts w:ascii="Inter" w:hAnsi="Inter"/>
          <w:b w:val="0"/>
          <w:i w:val="0"/>
          <w:color w:val="141414"/>
          <w:sz w:val="19"/>
        </w:rPr>
        <w:t xml:space="preserve"> — atualização SELIC do crédito durante o processamento administrativo.</w:t>
      </w:r>
    </w:p>
    <w:p>
      <w:pPr>
        <w:pStyle w:val="ListBullet"/>
        <w:spacing w:after="60" w:before="0"/>
      </w:pPr>
      <w:r>
        <w:rPr>
          <w:rFonts w:ascii="Inter" w:hAnsi="Inter"/>
          <w:b/>
          <w:color w:val="010860"/>
          <w:sz w:val="19"/>
        </w:rPr>
        <w:t>CF/88, arts. 150, §6º e 195</w:t>
      </w:r>
      <w:r>
        <w:rPr>
          <w:rFonts w:ascii="Inter" w:hAnsi="Inter"/>
          <w:b w:val="0"/>
          <w:color w:val="141414"/>
          <w:sz w:val="19"/>
        </w:rPr>
        <w:t xml:space="preserve"> — legalidade tributária e materialidade dos tributos compensáveis.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8. E a jurisprudência — o que blinda a operação?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Tema 736/STF</w:t>
      </w:r>
      <w:r>
        <w:rPr>
          <w:rFonts w:ascii="Inter" w:hAnsi="Inter"/>
          <w:b w:val="0"/>
          <w:i w:val="0"/>
          <w:color w:val="141414"/>
          <w:sz w:val="19"/>
        </w:rPr>
        <w:t xml:space="preserve"> — é inconstitucional a multa de 50% sobre a declaração de compensação não homologada, sem demonstração de má-fé. Precedente vinculante que protege o exercício do direito creditório.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Tema 237/STJ</w:t>
      </w:r>
      <w:r>
        <w:rPr>
          <w:rFonts w:ascii="Inter" w:hAnsi="Inter"/>
          <w:b w:val="0"/>
          <w:i w:val="0"/>
          <w:color w:val="141414"/>
          <w:sz w:val="19"/>
        </w:rPr>
        <w:t xml:space="preserve"> — contribuinte que oferece garantia tem direito à Certidão Positiva com Efeitos de Negativa (CPD-EN); aplicado por analogia aos créditos judiciais transitados.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Súmula 461/STJ</w:t>
      </w:r>
      <w:r>
        <w:rPr>
          <w:rFonts w:ascii="Inter" w:hAnsi="Inter"/>
          <w:b w:val="0"/>
          <w:i w:val="0"/>
          <w:color w:val="141414"/>
          <w:sz w:val="19"/>
        </w:rPr>
        <w:t xml:space="preserve"> — "O contribuinte pode optar por receber, por meio de precatório ou por compensação, o indébito tributário certificado por sentença declaratória transitada em julgado."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Jurisprudência sobre denúncia espontânea</w:t>
      </w:r>
      <w:r>
        <w:rPr>
          <w:rFonts w:ascii="Inter" w:hAnsi="Inter"/>
          <w:b w:val="0"/>
          <w:i w:val="0"/>
          <w:color w:val="141414"/>
          <w:sz w:val="19"/>
        </w:rPr>
        <w:t xml:space="preserve"> — delimita o alcance do instituto e é um dos motivos de a operação se restringir a débitos vincendos.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9. Por que a operação foca débitos VINCENDOS (e não os atrasados)?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Por desenho jurídico: o encontro de contas mensal extingue o </w:t>
      </w:r>
      <w:r>
        <w:rPr>
          <w:rFonts w:ascii="Inter" w:hAnsi="Inter"/>
          <w:b/>
          <w:i w:val="0"/>
          <w:color w:val="010860"/>
          <w:sz w:val="20"/>
        </w:rPr>
        <w:t xml:space="preserve">débito da competência, antes do vencimento</w:t>
      </w:r>
      <w:r>
        <w:rPr>
          <w:rFonts w:ascii="Inter" w:hAnsi="Inter"/>
          <w:b w:val="0"/>
          <w:i w:val="0"/>
          <w:color w:val="141414"/>
          <w:sz w:val="20"/>
        </w:rPr>
        <w:t xml:space="preserve"> — o que mantém a CND do cliente e evita as discussões próprias de débito vencido. Débitos </w:t>
      </w:r>
      <w:r>
        <w:rPr>
          <w:rFonts w:ascii="Inter" w:hAnsi="Inter"/>
          <w:b/>
          <w:i w:val="0"/>
          <w:color w:val="010860"/>
          <w:sz w:val="20"/>
        </w:rPr>
        <w:t xml:space="preserve">pretéritos</w:t>
      </w:r>
      <w:r>
        <w:rPr>
          <w:rFonts w:ascii="Inter" w:hAnsi="Inter"/>
          <w:b w:val="0"/>
          <w:i w:val="0"/>
          <w:color w:val="141414"/>
          <w:sz w:val="20"/>
        </w:rPr>
        <w:t xml:space="preserve"> não estão descartados, mas seguem tratamento próprio (CPD-EN com garantia — Tema 237/STJ; inclusão de parcelados/Dívida Ativa admitida em decisão judicial de operação idêntica), sempre com avaliação da área técnica, caso a caso.</w:t>
      </w:r>
    </w:p>
    <w:p>
      <w:pPr>
        <w:pStyle w:val="Heading1"/>
      </w:pPr>
      <w:r>
        <w:t xml:space="preserve">BLOCO 3 — COMO A OPERAÇÃO FUNCIONA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10. Quais são as seis etapas administrativas, passo a passo?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1 · Habilitação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cessão formal de fração do crédito (CC, arts. 286–298) + petição de habilitação do cliente no polo ativo do processo de origem.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2 · Pedido-mãe</w:t>
      </w:r>
      <w:r>
        <w:rPr>
          <w:rFonts w:ascii="Inter" w:hAnsi="Inter"/>
          <w:b w:val="0"/>
          <w:i w:val="0"/>
          <w:color w:val="141414"/>
          <w:sz w:val="19"/>
        </w:rPr>
        <w:t xml:space="preserve"> — protocolo, no COMPROT, do pedido de restituição/ressarcimento lastreado no valor escriturado do crédito judicial. É dentro dele que "vivem" os encontros de contas mensais.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3 · Dcomps mensais</w:t>
      </w:r>
      <w:r>
        <w:rPr>
          <w:rFonts w:ascii="Inter" w:hAnsi="Inter"/>
          <w:b w:val="0"/>
          <w:i w:val="0"/>
          <w:color w:val="141414"/>
          <w:sz w:val="19"/>
        </w:rPr>
        <w:t xml:space="preserve"> — a cada competência, PER/DCOMP indicando o crédito habilitado e o débito federal vincendo a quitar. Cada Dcomp gera número de protocolo individualizado.</w:t>
      </w:r>
    </w:p>
    <w:p>
      <w:pPr>
        <w:pStyle w:val="ListBullet"/>
        <w:spacing w:after="60" w:before="0"/>
      </w:pPr>
      <w:r>
        <w:rPr>
          <w:rFonts w:ascii="Inter" w:hAnsi="Inter"/>
          <w:b/>
          <w:color w:val="010860"/>
          <w:sz w:val="19"/>
        </w:rPr>
        <w:t>4 · Prazo legal</w:t>
      </w:r>
      <w:r>
        <w:rPr>
          <w:rFonts w:ascii="Inter" w:hAnsi="Inter"/>
          <w:b w:val="0"/>
          <w:color w:val="141414"/>
          <w:sz w:val="19"/>
        </w:rPr>
        <w:t xml:space="preserve"> — a RFB tem até 1 ano para examinar o pedido de ressarcimento, na forma da legislação do processo administrativo fiscal. Durante o prazo, o crédito segue atualizado pela SELIC.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5 · Homologação tácita</w:t>
      </w:r>
      <w:r>
        <w:rPr>
          <w:rFonts w:ascii="Inter" w:hAnsi="Inter"/>
          <w:b w:val="0"/>
          <w:i w:val="0"/>
          <w:color w:val="141414"/>
          <w:sz w:val="19"/>
        </w:rPr>
        <w:t xml:space="preserve"> — transcorrido 1 ano sem questionamento, a compensação considera-se homologada. O que está sob análise é o pedido-mãe, não cada Dcomp isoladamente.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6 · Acessórios</w:t>
      </w:r>
      <w:r>
        <w:rPr>
          <w:rFonts w:ascii="Inter" w:hAnsi="Inter"/>
          <w:b w:val="0"/>
          <w:i w:val="0"/>
          <w:color w:val="141414"/>
          <w:sz w:val="19"/>
        </w:rPr>
        <w:t xml:space="preserve"> — CND mantida para os débitos compensados na competência; CPD-EN para pretéritos com garantia; mandado de segurança preventivo quando necessário (certidões, vedação de multa).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11. O que é o "pedido-mãe"?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o pedido administrativo de </w:t>
      </w:r>
      <w:r>
        <w:rPr>
          <w:rFonts w:ascii="Inter" w:hAnsi="Inter"/>
          <w:b/>
          <w:i w:val="0"/>
          <w:color w:val="010860"/>
          <w:sz w:val="20"/>
        </w:rPr>
        <w:t xml:space="preserve">restituição/ressarcimento</w:t>
      </w:r>
      <w:r>
        <w:rPr>
          <w:rFonts w:ascii="Inter" w:hAnsi="Inter"/>
          <w:b w:val="0"/>
          <w:i w:val="0"/>
          <w:color w:val="141414"/>
          <w:sz w:val="20"/>
        </w:rPr>
        <w:t xml:space="preserve"> protocolado no </w:t>
      </w:r>
      <w:r>
        <w:rPr>
          <w:rFonts w:ascii="Inter" w:hAnsi="Inter"/>
          <w:b/>
          <w:i w:val="0"/>
          <w:color w:val="010860"/>
          <w:sz w:val="20"/>
        </w:rPr>
        <w:t xml:space="preserve">COMPROT</w:t>
      </w:r>
      <w:r>
        <w:rPr>
          <w:rFonts w:ascii="Inter" w:hAnsi="Inter"/>
          <w:b w:val="0"/>
          <w:i w:val="0"/>
          <w:color w:val="141414"/>
          <w:sz w:val="20"/>
        </w:rPr>
        <w:t xml:space="preserve"> (sistema de processos administrativos da Fazenda), lastreado no crédito judicial escriturado. Ele abre o processo dentro do qual as compensações mensais são declaradas — e é sobre ele que corre o prazo de 1 ano da RFB.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12. O que acontece durante os 12 meses de análise da RFB?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operação segue normalmente: as Dcomps mensais extinguem os débitos na competência (CTN, art. 156, II) e o cliente </w:t>
      </w:r>
      <w:r>
        <w:rPr>
          <w:rFonts w:ascii="Inter" w:hAnsi="Inter"/>
          <w:b/>
          <w:i w:val="0"/>
          <w:color w:val="010860"/>
          <w:sz w:val="20"/>
        </w:rPr>
        <w:t xml:space="preserve">mantém a CND</w:t>
      </w:r>
      <w:r>
        <w:rPr>
          <w:rFonts w:ascii="Inter" w:hAnsi="Inter"/>
          <w:b w:val="0"/>
          <w:i w:val="0"/>
          <w:color w:val="141414"/>
          <w:sz w:val="20"/>
        </w:rPr>
        <w:t xml:space="preserve"> sobre esses débitos. O crédito permanece </w:t>
      </w:r>
      <w:r>
        <w:rPr>
          <w:rFonts w:ascii="Inter" w:hAnsi="Inter"/>
          <w:b/>
          <w:i w:val="0"/>
          <w:color w:val="010860"/>
          <w:sz w:val="20"/>
        </w:rPr>
        <w:t xml:space="preserve">atualizado pela SELIC</w:t>
      </w:r>
      <w:r>
        <w:rPr>
          <w:rFonts w:ascii="Inter" w:hAnsi="Inter"/>
          <w:b w:val="0"/>
          <w:i w:val="0"/>
          <w:color w:val="141414"/>
          <w:sz w:val="20"/>
        </w:rPr>
        <w:t xml:space="preserve"> (Lei 9.250/95, art. 39, §4º), preservando o valor real do ativo. Não havendo questionamento no prazo, opera-se a </w:t>
      </w:r>
      <w:r>
        <w:rPr>
          <w:rFonts w:ascii="Inter" w:hAnsi="Inter"/>
          <w:b/>
          <w:i w:val="0"/>
          <w:color w:val="010860"/>
          <w:sz w:val="20"/>
        </w:rPr>
        <w:t xml:space="preserve">homologação tácita</w:t>
      </w:r>
      <w:r>
        <w:rPr>
          <w:rFonts w:ascii="Inter" w:hAnsi="Inter"/>
          <w:b w:val="0"/>
          <w:i w:val="0"/>
          <w:color w:val="141414"/>
          <w:sz w:val="20"/>
        </w:rPr>
        <w:t xml:space="preserve"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13. Qual o cronograma típico de implantação?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Etapa 1 · Diagnóstico</w:t>
      </w:r>
      <w:r>
        <w:rPr>
          <w:rFonts w:ascii="Inter" w:hAnsi="Inter"/>
          <w:b w:val="0"/>
          <w:i w:val="0"/>
          <w:color w:val="141414"/>
          <w:sz w:val="19"/>
        </w:rPr>
        <w:t xml:space="preserve"> — coleta de DCTFs, EFD-Contribuições e DARFs; média mensal de recolhimento federal; identificação de débitos elegíveis. Entregável: Mapa de Recolhimento.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Etapa 2 · Estruturação jurídica</w:t>
      </w:r>
      <w:r>
        <w:rPr>
          <w:rFonts w:ascii="Inter" w:hAnsi="Inter"/>
          <w:b w:val="0"/>
          <w:i w:val="0"/>
          <w:color w:val="141414"/>
          <w:sz w:val="19"/>
        </w:rPr>
        <w:t xml:space="preserve"> — parecer + memória de cálculo; termo e procuração; cessão de fração; habilitação no processo de origem; protocolo do pedido-mãe no COMPROT.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Em até 30 dias · Primeira compensação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primeira parcela mensal compensada em até 30 dias da formalização — prazo padrão da operação.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Recorrência · prazo do contrato</w:t>
      </w:r>
      <w:r>
        <w:rPr>
          <w:rFonts w:ascii="Inter" w:hAnsi="Inter"/>
          <w:b w:val="0"/>
          <w:i w:val="0"/>
          <w:color w:val="141414"/>
          <w:sz w:val="19"/>
        </w:rPr>
        <w:t xml:space="preserve"> — Dcomps mensais ao longo do prazo contratual (padrão: 1 ano), até esgotar a fração habilitada da operação.</w:t>
      </w:r>
    </w:p>
    <w:p>
      <w:pPr>
        <w:pStyle w:val="Heading1"/>
      </w:pPr>
      <w:r>
        <w:t xml:space="preserve">BLOCO 4 — QUEM SE QUALIFICA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14. Qual é o perfil de cliente ideal?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Recolhimento federal mensal relevante e recorrente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PIS, COFINS, IRPJ, CSLL e demais tributos administrados pela RFB; é sobre esse fluxo que a economia mensal acontece.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Apuração organizada e situação regular</w:t>
      </w:r>
      <w:r>
        <w:rPr>
          <w:rFonts w:ascii="Inter" w:hAnsi="Inter"/>
          <w:b w:val="0"/>
          <w:i w:val="0"/>
          <w:color w:val="141414"/>
          <w:sz w:val="19"/>
        </w:rPr>
        <w:t xml:space="preserve"> — DCTFs, EFD-Contribuições e DARFs em dia permitem o diagnóstico rápido (Mapa de Recolhimento).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Parcelamentos federais ativos</w:t>
      </w:r>
      <w:r>
        <w:rPr>
          <w:rFonts w:ascii="Inter" w:hAnsi="Inter"/>
          <w:b w:val="0"/>
          <w:i w:val="0"/>
          <w:color w:val="141414"/>
          <w:sz w:val="19"/>
        </w:rPr>
        <w:t xml:space="preserve"> — também endereçáveis: há decisão judicial reconhecendo a compensação com débitos parcelados e em Dívida Ativa, em operação idêntica; enquadramento pela área técnica, caso a caso.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é pré-requisito ter crédito próprio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crédito da operação já existe; o cliente só se habilita a uma fração.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15. Que documentos o cliente precisa entregar para começar?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Contrato social</w:t>
      </w:r>
      <w:r>
        <w:rPr>
          <w:rFonts w:ascii="Inter" w:hAnsi="Inter"/>
          <w:b w:val="0"/>
          <w:i w:val="0"/>
          <w:color w:val="141414"/>
          <w:sz w:val="19"/>
        </w:rPr>
        <w:t xml:space="preserve"> — versão consolidada e vigente.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Certidões dos sócios administradores</w:t>
      </w:r>
      <w:r>
        <w:rPr>
          <w:rFonts w:ascii="Inter" w:hAnsi="Inter"/>
          <w:b w:val="0"/>
          <w:i w:val="0"/>
          <w:color w:val="141414"/>
          <w:sz w:val="19"/>
        </w:rPr>
        <w:t xml:space="preserve"> — emitidas em até 90 dias.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RG ou CNH</w:t>
      </w:r>
      <w:r>
        <w:rPr>
          <w:rFonts w:ascii="Inter" w:hAnsi="Inter"/>
          <w:b w:val="0"/>
          <w:i w:val="0"/>
          <w:color w:val="141414"/>
          <w:sz w:val="19"/>
        </w:rPr>
        <w:t xml:space="preserve"> — dos sócios/administradores que assinarão procuração e contrato.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Procuração eletrônica no e-CAC</w:t>
      </w:r>
      <w:r>
        <w:rPr>
          <w:rFonts w:ascii="Inter" w:hAnsi="Inter"/>
          <w:b w:val="0"/>
          <w:i w:val="0"/>
          <w:color w:val="141414"/>
          <w:sz w:val="19"/>
        </w:rPr>
        <w:t xml:space="preserve"> — em nome das pessoas jurídicas indicadas pela operação.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Complementares (na Análise Jurídica)</w:t>
      </w:r>
      <w:r>
        <w:rPr>
          <w:rFonts w:ascii="Inter" w:hAnsi="Inter"/>
          <w:b w:val="0"/>
          <w:i w:val="0"/>
          <w:color w:val="141414"/>
          <w:sz w:val="19"/>
        </w:rPr>
        <w:t xml:space="preserve"> — DCTFs, EFD, ECD/ECF e demais obrigações acessórias, conforme o perfil tributário identificado.</w:t>
      </w:r>
    </w:p>
    <w:p>
      <w:pPr>
        <w:pStyle w:val="Heading1"/>
      </w:pPr>
      <w:r>
        <w:t xml:space="preserve">BLOCO 5 — REMUNERAÇÃO (MODELO 80/20)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16. Como o cliente paga? Existe honorário, adesão ou mensalidade?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>Modelo único e 100% atrelado a resultado — percentual fixo do modelo (o deságio do DCF é sempre de 20%): o cliente paga 80%</w:t>
      </w:r>
      <w:r>
        <w:rPr>
          <w:rFonts w:ascii="Inter" w:hAnsi="Inter"/>
          <w:b w:val="0"/>
          <w:i w:val="0"/>
          <w:color w:val="141414"/>
          <w:sz w:val="20"/>
        </w:rPr>
      </w:r>
      <w:r>
        <w:rPr>
          <w:rFonts w:ascii="Inter" w:hAnsi="Inter"/>
          <w:b/>
          <w:i w:val="0"/>
          <w:color w:val="010860"/>
          <w:sz w:val="20"/>
        </w:rPr>
        <w:t xml:space="preserve"> do valor de face de cada tributo efetivamente compensado</w:t>
      </w:r>
      <w:r>
        <w:rPr>
          <w:rFonts w:ascii="Inter" w:hAnsi="Inter"/>
          <w:b w:val="0"/>
          <w:i w:val="0"/>
          <w:color w:val="141414"/>
          <w:sz w:val="20"/>
        </w:rPr>
        <w:t xml:space="preserve">, na medida em que cada compensação mensal se efetiva — sem pagamento antecipado, sem adesão, sem mensalidade e sem honorários à parte (tudo embutido). Os </w:t>
      </w:r>
      <w:r>
        <w:rPr>
          <w:rFonts w:ascii="Inter" w:hAnsi="Inter"/>
          <w:b/>
          <w:i w:val="0"/>
          <w:color w:val="010860"/>
          <w:sz w:val="20"/>
        </w:rPr>
        <w:t xml:space="preserve">20% restantes são a economia direta e líquida</w:t>
      </w:r>
      <w:r>
        <w:rPr>
          <w:rFonts w:ascii="Inter" w:hAnsi="Inter"/>
          <w:b w:val="0"/>
          <w:i w:val="0"/>
          <w:color w:val="141414"/>
          <w:sz w:val="20"/>
        </w:rPr>
        <w:t xml:space="preserve"> do cliente em cada competência. A atualização SELIC do crédito durante o processamento é apropriada pela operação. Eventual defesa administrativa ou judicial relacionada é conduzida </w:t>
      </w:r>
      <w:r>
        <w:rPr>
          <w:rFonts w:ascii="Inter" w:hAnsi="Inter"/>
          <w:b/>
          <w:i w:val="0"/>
          <w:color w:val="010860"/>
          <w:sz w:val="20"/>
        </w:rPr>
        <w:t xml:space="preserve">sem custo adicional</w:t>
      </w:r>
      <w:r>
        <w:rPr>
          <w:rFonts w:ascii="Inter" w:hAnsi="Inter"/>
          <w:b w:val="0"/>
          <w:i w:val="0"/>
          <w:color w:val="141414"/>
          <w:sz w:val="20"/>
        </w:rPr>
        <w:t xml:space="preserve">. Atenção de postura: não use a palavra "garantido" — apresente como condição do modelo, validada em proposta.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17. Tem um exemplo numérico para eu visualizar?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>
              <w:t>⬧ EXEMPLO ILUSTRATIVO — não usar como proposta</w:t>
            </w:r>
            <w:r>
              <w:rPr>
                <w:rFonts w:ascii="Montserrat" w:hAnsi="Montserrat"/>
                <w:b/>
                <w:color w:val="7A5A1E"/>
                <w:sz w:val="21"/>
              </w:rPr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Números padronizados do modelo — os valores variam por cliente, mas o percentual é fixo (80/20). Empresa que recolhe em média R$ 200.000/mês em tributos federais (PIS, COFINS, IRPJ, CSLL e INSS): cessão anual de R$ 2.400.000, extinta por compensação mensal via PER/DCOMP. O cliente paga à Lucro Ativo 80% (R$ 1.920.000), na medida em que cada compensação se efetiva, e retém 20% (R$ 480.000) como economia direta e líquida de caixa no ano. Não há saída de caixa para a União sobre o tributo compensado na competência. A atualização SELIC do crédito durante o processamento administrativo é apropriada pela operação.</w:t>
            </w:r>
            <w:r>
              <w:rPr>
                <w:rFonts w:ascii="Inter" w:hAnsi="Inter"/>
                <w:b w:val="0"/>
                <w:color w:val="3A2E14"/>
                <w:sz w:val="19"/>
              </w:rPr>
            </w:r>
          </w:p>
        </w:tc>
      </w:tr>
    </w:tbl>
    <w:p>
      <w:pPr>
        <w:pStyle w:val="Heading1"/>
      </w:pPr>
      <w:r>
        <w:t xml:space="preserve">BLOCO 6 — SEGURANÇA JURÍDICA E CONTINGÊNCIAS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18. Quais os riscos mapeados e a blindagem de cada um?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homologação do PER/DCOMP</w:t>
      </w:r>
      <w:r>
        <w:rPr>
          <w:rFonts w:ascii="Inter" w:hAnsi="Inter"/>
          <w:b w:val="0"/>
          <w:i w:val="0"/>
          <w:color w:val="141414"/>
          <w:sz w:val="19"/>
        </w:rPr>
        <w:t xml:space="preserve"> — crédito com trânsito em julgado e escrituração formal (art. 170-A CTN cumprido); defesa administrativa imediata e MS quando necessário; Tema 736/STF protege o exercício do direito creditório.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Multa sobre compensação não homologada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Tema 736/STF: inconstitucional sem prova de má-fé; decisão de TRF (mar/2026) determinou abstenção expressa da RFB em caso idêntico.</w:t>
      </w:r>
    </w:p>
    <w:p>
      <w:pPr>
        <w:pStyle w:val="ListBullet"/>
        <w:spacing w:after="60" w:before="0"/>
      </w:pPr>
      <w:r>
        <w:rPr>
          <w:rFonts w:ascii="Inter" w:hAnsi="Inter"/>
          <w:b/>
          <w:color w:val="010860"/>
          <w:sz w:val="19"/>
        </w:rPr>
        <w:t>RFB não conclui a análise em 12 meses</w:t>
      </w:r>
      <w:r>
        <w:rPr>
          <w:rFonts w:ascii="Inter" w:hAnsi="Inter"/>
          <w:b w:val="0"/>
          <w:color w:val="141414"/>
          <w:sz w:val="19"/>
        </w:rPr>
        <w:t xml:space="preserve"> — homologação tácita ao fim do prazo legal; crédito atualizado pela SELIC; cabível MS para forçar instauração — decisão de TRF (abr/2026) fixou 15 dias sob multa diária.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Certidões / CADIN / SERASA</w:t>
      </w:r>
      <w:r>
        <w:rPr>
          <w:rFonts w:ascii="Inter" w:hAnsi="Inter"/>
          <w:b w:val="0"/>
          <w:i w:val="0"/>
          <w:color w:val="141414"/>
          <w:sz w:val="19"/>
        </w:rPr>
        <w:t xml:space="preserve"> — débitos vincendos compensados mantêm CND; pretéritos com garantia têm CPD-EN (Tema 237/STJ); MS preventivo afasta CADIN/SERASA — teses consolidadas em TRF3 e TRF4 (2024–2026).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Responsabilização de administradores (art. 135 CTN)</w:t>
      </w:r>
      <w:r>
        <w:rPr>
          <w:rFonts w:ascii="Inter" w:hAnsi="Inter"/>
          <w:b w:val="0"/>
          <w:i w:val="0"/>
          <w:color w:val="141414"/>
          <w:sz w:val="19"/>
        </w:rPr>
        <w:t xml:space="preserve"> — exige dolo, fraude ou excesso de poderes demonstrados; exercício de direito legal não configura infração; MS (mar/2026) vedou expressamente a responsabilização.</w:t>
      </w:r>
    </w:p>
    <w:p>
      <w:pPr>
        <w:pStyle w:val="ListBullet"/>
        <w:spacing w:after="60" w:before="0"/>
      </w:pPr>
      <w:r>
        <w:rPr>
          <w:rFonts w:ascii="Inter" w:hAnsi="Inter"/>
          <w:b/>
          <w:color w:val="010860"/>
          <w:sz w:val="19"/>
        </w:rPr>
        <w:t>Alegação de “elisão abusiva”</w:t>
      </w:r>
      <w:r>
        <w:rPr>
          <w:rFonts w:ascii="Inter" w:hAnsi="Inter"/>
          <w:b w:val="0"/>
          <w:color w:val="141414"/>
          <w:sz w:val="19"/>
        </w:rPr>
        <w:t xml:space="preserve"> — a operação exerce direito previsto na Constituição e na lei (CF, art. 100, §11 — EC 113/2021; CTN, art. 170), com crédito judicial; não há simulação, dissimulação ou fraude.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19. Existem decisões judiciais em operações idênticas?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Sim — quatro decisões favoráveis (TRF3, TRF4 e TRF5, dez/2024 a abr/2026), anonimizadas no material-base:</w:t>
      </w:r>
      <w:r>
        <w:rPr>
          <w:rFonts w:ascii="Inter" w:hAnsi="Inter"/>
          <w:b w:val="0"/>
          <w:i w:val="0"/>
          <w:color w:val="141414"/>
          <w:sz w:val="20"/>
        </w:rPr>
        <w:t xml:space="preserve"> (i) apelação provida reconhecendo a compensação de créditos habilitados com débitos parcelados e em Dívida Ativa; (ii) MS com abstenção de multa qualificada, vedação de responsabilização de sócios e garantia de CND/CPD-EN; (iii) liminar suspendendo alerta de autorregularização da RFB após PER/DCOMP com crédito cedido (R$ 1.183.621,94), reconhecendo a legitimidade da cessão; (iv) tutela determinando a instauração do processo administrativo em 15 dias sob multa diária, com suspensão de parcelas vincendas e emissão de CPD-EN. </w:t>
      </w:r>
      <w:r>
        <w:rPr>
          <w:rFonts w:ascii="Inter" w:hAnsi="Inter"/>
          <w:b/>
          <w:i w:val="0"/>
          <w:color w:val="010860"/>
          <w:sz w:val="20"/>
        </w:rPr>
        <w:t xml:space="preserve">As íntegras ficam arquivadas na operação e são disponibilizadas sob pedido, para análise técnica, preservada a confidencialidade dos casos.</w:t>
      </w:r>
    </w:p>
    <w:p>
      <w:pPr>
        <w:pStyle w:val="Heading1"/>
      </w:pPr>
      <w:r>
        <w:t xml:space="preserve">BLOCO 7 — OBJEÇÕES DO CLIENTE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20. "Isso é legal?"</w:t>
      </w:r>
    </w:p>
    <w:p>
      <w:pPr>
        <w:spacing w:after="120" w:before="0"/>
      </w:pPr>
      <w:r>
        <w:rPr>
          <w:rFonts w:ascii="Inter" w:hAnsi="Inter"/>
          <w:b/>
          <w:color w:val="010860"/>
          <w:sz w:val="20"/>
        </w:rPr>
        <w:t>Sim.</w:t>
      </w:r>
      <w:r>
        <w:rPr>
          <w:rFonts w:ascii="Inter" w:hAnsi="Inter"/>
          <w:b w:val="0"/>
          <w:color w:val="141414"/>
          <w:sz w:val="20"/>
        </w:rPr>
        <w:t xml:space="preserve"> É o exercício de direito expressamente previsto — </w:t>
      </w:r>
      <w:r>
        <w:rPr>
          <w:rFonts w:ascii="Inter" w:hAnsi="Inter"/>
          <w:b/>
          <w:color w:val="010860"/>
          <w:sz w:val="20"/>
        </w:rPr>
        <w:t>CF, art. 100, §11 (EC 113/2021); CTN, arts. 156, II, 170 e 170-A</w:t>
      </w:r>
      <w:r>
        <w:rPr>
          <w:rFonts w:ascii="Inter" w:hAnsi="Inter"/>
          <w:b w:val="0"/>
          <w:color w:val="141414"/>
          <w:sz w:val="20"/>
        </w:rPr>
        <w:t xml:space="preserve"> — com crédito judicial transitado em julgado, em procedimento 100% administrativo dentro da Receita Federal. Cada compensação gera protocolo individualizado; tudo é registrado e rastreável.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21. "E se a Receita questionar ou não homologar?"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RFB tem 1 ano para se manifestar; sem questionamento, a compensação é </w:t>
      </w:r>
      <w:r>
        <w:rPr>
          <w:rFonts w:ascii="Inter" w:hAnsi="Inter"/>
          <w:b/>
          <w:i w:val="0"/>
          <w:color w:val="010860"/>
          <w:sz w:val="20"/>
        </w:rPr>
        <w:t xml:space="preserve">tacitamente homologada</w:t>
      </w:r>
      <w:r>
        <w:rPr>
          <w:rFonts w:ascii="Inter" w:hAnsi="Inter"/>
          <w:b w:val="0"/>
          <w:i w:val="0"/>
          <w:color w:val="141414"/>
          <w:sz w:val="20"/>
        </w:rPr>
        <w:t xml:space="preserve">. Se houver questionamento, toda a defesa administrativa e judicial é conduzida pela operação, </w:t>
      </w:r>
      <w:r>
        <w:rPr>
          <w:rFonts w:ascii="Inter" w:hAnsi="Inter"/>
          <w:b/>
          <w:i w:val="0"/>
          <w:color w:val="010860"/>
          <w:sz w:val="20"/>
        </w:rPr>
        <w:t xml:space="preserve">sem custo adicional</w:t>
      </w:r>
      <w:r>
        <w:rPr>
          <w:rFonts w:ascii="Inter" w:hAnsi="Inter"/>
          <w:b w:val="0"/>
          <w:i w:val="0"/>
          <w:color w:val="141414"/>
          <w:sz w:val="20"/>
        </w:rPr>
        <w:t xml:space="preserve"> — com blindagem jurisprudencial específica (Tema 736/STF; decisões de TRFs em casos idênticos, incluindo abstenção de multa e de responsabilização de sócios).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22. "Por que não simplesmente parcelar?"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Parcelamento dilui, não reduz: paga-se o valor cheio + SELIC ao longo do tempo, consumindo caixa. No DCF, o débito da competência é </w:t>
      </w:r>
      <w:r>
        <w:rPr>
          <w:rFonts w:ascii="Inter" w:hAnsi="Inter"/>
          <w:b/>
          <w:i w:val="0"/>
          <w:color w:val="010860"/>
          <w:sz w:val="20"/>
        </w:rPr>
        <w:t xml:space="preserve">extinto por compensação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 o cliente desembolsa 80% do valor de face — economia direta de 20% ao mês, sem antecipação e sem litígio — percentual fixo do modelo.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23. "Parece bom demais para ser verdade."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economia tem lógica de mercado, não de milagre: o crédito judicial consolidado é um ativo de </w:t>
      </w:r>
      <w:r>
        <w:rPr>
          <w:rFonts w:ascii="Inter" w:hAnsi="Inter"/>
          <w:b/>
          <w:i w:val="0"/>
          <w:color w:val="010860"/>
          <w:sz w:val="20"/>
        </w:rPr>
        <w:t xml:space="preserve">baixa liquidez</w:t>
      </w:r>
      <w:r>
        <w:rPr>
          <w:rFonts w:ascii="Inter" w:hAnsi="Inter"/>
          <w:b w:val="0"/>
          <w:i w:val="0"/>
          <w:color w:val="141414"/>
          <w:sz w:val="20"/>
        </w:rPr>
        <w:t xml:space="preserve"> — o titular prefere monetizá-lo com desconto a esperar. O cliente acessa uma fração desse crédito com deságio e a norma define o rito (encontro de contas mensal; declarações de compensação; homologação). Tudo com protocolo, escrituração e registro — e precedentes judiciais em operações idênticas.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24. "Em quanto tempo vejo a primeira economia?"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primeira compensação ocorre </w:t>
      </w:r>
      <w:r>
        <w:rPr>
          <w:rFonts w:ascii="Inter" w:hAnsi="Inter"/>
          <w:b/>
          <w:i w:val="0"/>
          <w:color w:val="010860"/>
          <w:sz w:val="20"/>
        </w:rPr>
        <w:t>em até 30 dias da formalização</w:t>
      </w:r>
      <w:r>
        <w:rPr>
          <w:rFonts w:ascii="Inter" w:hAnsi="Inter"/>
          <w:b w:val="0"/>
          <w:i w:val="0"/>
          <w:color w:val="141414"/>
          <w:sz w:val="20"/>
        </w:rPr>
        <w:t xml:space="preserve"> (diagnóstico → estruturação → primeira Dcomp) — prazo padrão da operação. A partir daí, a economia é mensal e recorrente, ao longo do prazo do contrato (padrão: 1 ano).</w:t>
      </w:r>
    </w:p>
    <w:p>
      <w:pPr>
        <w:pStyle w:val="Heading1"/>
      </w:pPr>
      <w:r>
        <w:t xml:space="preserve">BLOCO 8 — LIMITES, RISCOS E POSTURA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25. O que o produto NÃO faz — e o que o executivo nunca deve fazer?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é venda de "papel"</w:t>
      </w:r>
      <w:r>
        <w:rPr>
          <w:rFonts w:ascii="Inter" w:hAnsi="Inter"/>
          <w:b w:val="0"/>
          <w:i w:val="0"/>
          <w:color w:val="141414"/>
          <w:sz w:val="19"/>
        </w:rPr>
        <w:t xml:space="preserve"> — o cliente não compra crédito para compensar por conta própria: sem cessão formal + habilitação no polo ativo, não há operação.</w:t>
      </w:r>
    </w:p>
    <w:p>
      <w:pPr>
        <w:pStyle w:val="ListBullet"/>
        <w:spacing w:after="60" w:before="0"/>
      </w:pPr>
      <w:r>
        <w:rPr>
          <w:rFonts w:ascii="Inter" w:hAnsi="Inter"/>
          <w:b/>
          <w:color w:val="010860"/>
          <w:sz w:val="19"/>
        </w:rPr>
        <w:t>A âncora é a EC 113/2021 (CF, art. 100, §11)</w:t>
      </w:r>
      <w:r>
        <w:rPr>
          <w:rFonts w:ascii="Inter" w:hAnsi="Inter"/>
          <w:b w:val="0"/>
          <w:color w:val="141414"/>
          <w:sz w:val="19"/>
        </w:rPr>
        <w:t xml:space="preserve"> — não apresente a operação como a compensação comum da Lei 9.430/96: o rito do art. 74 é de crédito próprio; o encontro de contas do DCF tem assento constitucional próprio e admite créditos adquiridos de terceiros.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 prometa homologação nem data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prazo legal é da RFB; a homologação tácita é efeito do decurso do prazo, não promessa comercial.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 use "garantido" — prazos e condições são confirmados em proposta individual; o percentual do modelo 80/20 é fixo (20% de economia direta ao cliente).</w:t>
      </w:r>
      <w:r>
        <w:rPr>
          <w:rFonts w:ascii="Inter" w:hAnsi="Inter"/>
          <w:b w:val="0"/>
          <w:i w:val="0"/>
          <w:color w:val="141414"/>
          <w:sz w:val="19"/>
        </w:rPr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Foco em débitos vincendos</w:t>
      </w:r>
      <w:r>
        <w:rPr>
          <w:rFonts w:ascii="Inter" w:hAnsi="Inter"/>
          <w:b w:val="0"/>
          <w:i w:val="0"/>
          <w:color w:val="141414"/>
          <w:sz w:val="19"/>
        </w:rPr>
        <w:t xml:space="preserve"> — pretéritos, parcelados e Dívida Ativa só com avaliação da área técnica (CPD-EN/garantia; decisão judicial favorável existe, mas o enquadramento é caso a caso).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Alerta ou intimação da RFB ao cliente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acione imediatamente a área técnica: há rito de defesa e precedente específico (liminar suspendendo alerta de autorregularização em caso idêntico). Nunca oriente o cliente por conta própria.</w:t>
      </w:r>
    </w:p>
    <w:p>
      <w:pPr>
        <w:pStyle w:val="Heading1"/>
      </w:pPr>
      <w:r>
        <w:t xml:space="preserve"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Direito Creditório Federal (DCF): </w:t>
      </w:r>
      <w:r>
        <w:rPr>
          <w:rFonts w:ascii="Inter" w:hAnsi="Inter"/>
          <w:b w:val="0"/>
          <w:i w:val="0"/>
          <w:color w:val="141414"/>
          <w:sz w:val="19"/>
        </w:rPr>
        <w:t xml:space="preserve">crédito tributário federal, líquido e certo, decorrente de decisão judicial transitada em julgado, hábil à compensação administrativa.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Encontro de contas: </w:t>
      </w:r>
      <w:r>
        <w:rPr>
          <w:rFonts w:ascii="Inter" w:hAnsi="Inter"/>
          <w:b w:val="0"/>
          <w:i w:val="0"/>
          <w:color w:val="141414"/>
          <w:sz w:val="19"/>
        </w:rPr>
        <w:t xml:space="preserve">sinônimo prático de compensação bilateral — no DCF, a operação mensal entre o crédito habilitado e o débito federal vincendo do cliente.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Compensação tributária: </w:t>
      </w:r>
      <w:r>
        <w:rPr>
          <w:rFonts w:ascii="Inter" w:hAnsi="Inter"/>
          <w:b w:val="0"/>
          <w:i w:val="0"/>
          <w:color w:val="141414"/>
          <w:sz w:val="19"/>
        </w:rPr>
        <w:t xml:space="preserve">modalidade de extinção do crédito tributário (CTN, art. 156, II) pela qual créditos e débitos se extinguem até onde se compensarem.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Cessão de crédito: </w:t>
      </w:r>
      <w:r>
        <w:rPr>
          <w:rFonts w:ascii="Inter" w:hAnsi="Inter"/>
          <w:b w:val="0"/>
          <w:i w:val="0"/>
          <w:color w:val="141414"/>
          <w:sz w:val="19"/>
        </w:rPr>
        <w:t xml:space="preserve">negócio jurídico dos arts. 286–298 do CC; no DCF, viabiliza a habilitação do cliente no polo ativo da ação de origem.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Habilitação no polo ativo: </w:t>
      </w:r>
      <w:r>
        <w:rPr>
          <w:rFonts w:ascii="Inter" w:hAnsi="Inter"/>
          <w:b w:val="0"/>
          <w:i w:val="0"/>
          <w:color w:val="141414"/>
          <w:sz w:val="19"/>
        </w:rPr>
        <w:t xml:space="preserve">reconhecimento, no processo de origem, da titularidade do cliente sobre fração do crédito — pré-requisito do uso administrativo.</w:t>
      </w:r>
    </w:p>
    <w:p>
      <w:pPr>
        <w:pStyle w:val="ListBullet"/>
        <w:spacing w:after="60" w:before="0"/>
      </w:pPr>
      <w:r>
        <w:rPr>
          <w:rFonts w:ascii="Inter" w:hAnsi="Inter"/>
          <w:b/>
          <w:color w:val="010860"/>
          <w:sz w:val="19"/>
        </w:rPr>
        <w:t>PER/DCOMP (Dcomp):</w:t>
      </w:r>
      <w:r>
        <w:rPr>
          <w:rFonts w:ascii="Inter" w:hAnsi="Inter"/>
          <w:b w:val="0"/>
          <w:color w:val="141414"/>
          <w:sz w:val="19"/>
        </w:rPr>
        <w:t xml:space="preserve"> Pedido Eletrônico de Restituição, Ressarcimento ou Reembolso e Declaração de Compensação — a declaração eletrônica utilizada no encontro de contas mensal.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Pedido-mãe (restituição/ressarcimento): </w:t>
      </w:r>
      <w:r>
        <w:rPr>
          <w:rFonts w:ascii="Inter" w:hAnsi="Inter"/>
          <w:b w:val="0"/>
          <w:i w:val="0"/>
          <w:color w:val="141414"/>
          <w:sz w:val="19"/>
        </w:rPr>
        <w:t xml:space="preserve">pedido administrativo protocolado no COMPROT, lastreado no crédito judicial, que abriga os Dcomps mensais.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COMPROT: </w:t>
      </w:r>
      <w:r>
        <w:rPr>
          <w:rFonts w:ascii="Inter" w:hAnsi="Inter"/>
          <w:b w:val="0"/>
          <w:i w:val="0"/>
          <w:color w:val="141414"/>
          <w:sz w:val="19"/>
        </w:rPr>
        <w:t xml:space="preserve">sistema de controle de processos administrativos da Fazenda, onde se protocola o pedido-mãe.</w:t>
      </w:r>
    </w:p>
    <w:p>
      <w:pPr>
        <w:pStyle w:val="ListBullet"/>
        <w:spacing w:after="60" w:before="0"/>
      </w:pPr>
      <w:r>
        <w:rPr>
          <w:rFonts w:ascii="Inter" w:hAnsi="Inter"/>
          <w:b/>
          <w:color w:val="010860"/>
          <w:sz w:val="19"/>
        </w:rPr>
        <w:t>Homologação tácita:</w:t>
      </w:r>
      <w:r>
        <w:rPr>
          <w:rFonts w:ascii="Inter" w:hAnsi="Inter"/>
          <w:b w:val="0"/>
          <w:color w:val="141414"/>
          <w:sz w:val="19"/>
        </w:rPr>
        <w:t xml:space="preserve"> efeito do decurso do prazo legal de 1 ano sem manifestação da RFB sobre o pedido, na forma da legislação do processo administrativo fiscal.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líquido e certo: </w:t>
      </w:r>
      <w:r>
        <w:rPr>
          <w:rFonts w:ascii="Inter" w:hAnsi="Inter"/>
          <w:b w:val="0"/>
          <w:i w:val="0"/>
          <w:color w:val="141414"/>
          <w:sz w:val="19"/>
        </w:rPr>
        <w:t xml:space="preserve">crédito de valor determinado, com origem e titularidade incontroversas — requisito do art. 170 do CTN.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Trânsito em julgado: </w:t>
      </w:r>
      <w:r>
        <w:rPr>
          <w:rFonts w:ascii="Inter" w:hAnsi="Inter"/>
          <w:b w:val="0"/>
          <w:i w:val="0"/>
          <w:color w:val="141414"/>
          <w:sz w:val="19"/>
        </w:rPr>
        <w:t xml:space="preserve">estado da decisão que não admite mais recurso; marco a partir do qual o crédito é apto à compensação (CTN, art. 170-A).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Deságio: </w:t>
      </w:r>
      <w:r>
        <w:rPr>
          <w:rFonts w:ascii="Inter" w:hAnsi="Inter"/>
          <w:b w:val="0"/>
          <w:i w:val="0"/>
          <w:color w:val="141414"/>
          <w:sz w:val="19"/>
        </w:rPr>
        <w:t xml:space="preserve">diferença entre o valor de face e o valor pago; no DCF, os 20% que ficam com o cliente como economia direta.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SELIC: </w:t>
      </w:r>
      <w:r>
        <w:rPr>
          <w:rFonts w:ascii="Inter" w:hAnsi="Inter"/>
          <w:b w:val="0"/>
          <w:i w:val="0"/>
          <w:color w:val="141414"/>
          <w:sz w:val="19"/>
        </w:rPr>
        <w:t xml:space="preserve">taxa que atualiza os créditos tributários da União em favor do contribuinte (Lei 9.250/95, art. 39, §4º).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CND: </w:t>
      </w:r>
      <w:r>
        <w:rPr>
          <w:rFonts w:ascii="Inter" w:hAnsi="Inter"/>
          <w:b w:val="0"/>
          <w:i w:val="0"/>
          <w:color w:val="141414"/>
          <w:sz w:val="19"/>
        </w:rPr>
        <w:t xml:space="preserve">Certidão Negativa de Débitos — atesta regularidade fiscal; exigida em licitações, financiamentos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CPD-EN: </w:t>
      </w:r>
      <w:r>
        <w:rPr>
          <w:rFonts w:ascii="Inter" w:hAnsi="Inter"/>
          <w:b w:val="0"/>
          <w:i w:val="0"/>
          <w:color w:val="141414"/>
          <w:sz w:val="19"/>
        </w:rPr>
        <w:t xml:space="preserve">Certidão Positiva com Efeitos de Negativa — emitida com débitos suspensos ou garantidos; mesmos efeitos práticos da CND (Tema 237/STJ).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CADIN: </w:t>
      </w:r>
      <w:r>
        <w:rPr>
          <w:rFonts w:ascii="Inter" w:hAnsi="Inter"/>
          <w:b w:val="0"/>
          <w:i w:val="0"/>
          <w:color w:val="141414"/>
          <w:sz w:val="19"/>
        </w:rPr>
        <w:t xml:space="preserve">cadastro federal de créditos não quitados; a inclusão gera restrição em órgãos federais — a operação tem rito preventivo contra inclusão indevida.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Precatório: </w:t>
      </w:r>
      <w:r>
        <w:rPr>
          <w:rFonts w:ascii="Inter" w:hAnsi="Inter"/>
          <w:b w:val="0"/>
          <w:i w:val="0"/>
          <w:color w:val="141414"/>
          <w:sz w:val="19"/>
        </w:rPr>
        <w:t xml:space="preserve">requisição judicial de pagamento contra a Fazenda (CF, art. 100). Citado neste FAQ apenas para diferenciação — não é o instrumento da operação.</w:t>
      </w:r>
    </w:p>
    <w:p>
      <w:pPr>
        <w:pStyle w:val="Heading1"/>
      </w:pPr>
      <w:r>
        <w:t xml:space="preserve">BASE NORMATIVA VERIFICADA (para consulta do executivo)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Código Civil, arts. 286–298 e 368–369</w:t>
      </w:r>
      <w:r>
        <w:rPr>
          <w:rFonts w:ascii="Inter" w:hAnsi="Inter"/>
          <w:b w:val="0"/>
          <w:i w:val="0"/>
          <w:color w:val="141414"/>
          <w:sz w:val="19"/>
        </w:rPr>
        <w:t xml:space="preserve"> — cessão de crédito e compensação como instituto.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CTN, arts. 156, II; 170; 170-A</w:t>
      </w:r>
      <w:r>
        <w:rPr>
          <w:rFonts w:ascii="Inter" w:hAnsi="Inter"/>
          <w:b w:val="0"/>
          <w:i w:val="0"/>
          <w:color w:val="141414"/>
          <w:sz w:val="19"/>
        </w:rPr>
        <w:t xml:space="preserve"> — extinção por compensação; crédito líquido e certo; exigência do trânsito em julgado.</w:t>
      </w:r>
    </w:p>
    <w:p>
      <w:pPr>
        <w:pStyle w:val="ListBullet"/>
        <w:spacing w:after="60" w:before="0"/>
      </w:pPr>
      <w:r>
        <w:rPr>
          <w:rFonts w:ascii="Inter" w:hAnsi="Inter"/>
          <w:b/>
          <w:color w:val="010860"/>
          <w:sz w:val="19"/>
        </w:rPr>
        <w:t>EC 113/2021 — CF, art. 100, §11</w:t>
      </w:r>
      <w:r>
        <w:rPr>
          <w:rFonts w:ascii="Inter" w:hAnsi="Inter"/>
          <w:b w:val="0"/>
          <w:color w:val="141414"/>
          <w:sz w:val="19"/>
        </w:rPr>
        <w:t xml:space="preserve"> — o assento constitucional do encontro de contas: créditos próprios ou adquiridos de terceiros, decorrentes de decisões transitadas em julgado, para quitação de débitos perante a União.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IN RFB nº 2.055/2021</w:t>
      </w:r>
      <w:r>
        <w:rPr>
          <w:rFonts w:ascii="Inter" w:hAnsi="Inter"/>
          <w:b w:val="0"/>
          <w:i w:val="0"/>
          <w:color w:val="141414"/>
          <w:sz w:val="19"/>
        </w:rPr>
        <w:t xml:space="preserve"> — procedimento de restituição, ressarcimento e compensação.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nº 9.250/1995, art. 39, §4º</w:t>
      </w:r>
      <w:r>
        <w:rPr>
          <w:rFonts w:ascii="Inter" w:hAnsi="Inter"/>
          <w:b w:val="0"/>
          <w:i w:val="0"/>
          <w:color w:val="141414"/>
          <w:sz w:val="19"/>
        </w:rPr>
        <w:t xml:space="preserve"> — atualização SELIC do crédito.</w:t>
      </w:r>
    </w:p>
    <w:p>
      <w:pPr>
        <w:pStyle w:val="ListBullet"/>
        <w:spacing w:after="60" w:before="0"/>
      </w:pPr>
      <w:r>
        <w:rPr>
          <w:rFonts w:ascii="Inter" w:hAnsi="Inter"/>
          <w:b/>
          <w:color w:val="010860"/>
          <w:sz w:val="19"/>
        </w:rPr>
        <w:t>CF/88, arts. 150, §6º e 195</w:t>
      </w:r>
      <w:r>
        <w:rPr>
          <w:rFonts w:ascii="Inter" w:hAnsi="Inter"/>
          <w:b w:val="0"/>
          <w:color w:val="141414"/>
          <w:sz w:val="19"/>
        </w:rPr>
        <w:t xml:space="preserve"> — legalidade tributária e materialidade dos tributos compensáveis.</w:t>
      </w:r>
    </w:p>
    <w:p>
      <w:pPr>
        <w:pStyle w:val="ListBullet"/>
        <w:spacing w:after="60" w:before="0"/>
      </w:pPr>
      <w:r>
        <w:rPr>
          <w:rFonts w:ascii="Inter" w:hAnsi="Inter"/>
          <w:b/>
          <w:color w:val="010860"/>
          <w:sz w:val="19"/>
        </w:rPr>
        <w:t>Decreto nº 11.249/2022, Portaria PGFN nº 10.826/2022 e IN RFB nº 2.055/2021</w:t>
      </w:r>
      <w:r>
        <w:rPr>
          <w:rFonts w:ascii="Inter" w:hAnsi="Inter"/>
          <w:b w:val="0"/>
          <w:color w:val="141414"/>
          <w:sz w:val="19"/>
        </w:rPr>
        <w:t xml:space="preserve"> — regulamentação posterior à EC 113/2021: disciplina operacional do encontro de contas e do processamento administrativo federal.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Tema 736/STF</w:t>
      </w:r>
      <w:r>
        <w:rPr>
          <w:rFonts w:ascii="Inter" w:hAnsi="Inter"/>
          <w:b w:val="0"/>
          <w:i w:val="0"/>
          <w:color w:val="141414"/>
          <w:sz w:val="19"/>
        </w:rPr>
        <w:t xml:space="preserve"> — inconstitucionalidade da multa de 50% sobre compensação não homologada, sem má-fé.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Tema 237/STJ</w:t>
      </w:r>
      <w:r>
        <w:rPr>
          <w:rFonts w:ascii="Inter" w:hAnsi="Inter"/>
          <w:b w:val="0"/>
          <w:i w:val="0"/>
          <w:color w:val="141414"/>
          <w:sz w:val="19"/>
        </w:rPr>
        <w:t xml:space="preserve"> — CPD-EN mediante garantia.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Súmula 461/STJ</w:t>
      </w:r>
      <w:r>
        <w:rPr>
          <w:rFonts w:ascii="Inter" w:hAnsi="Inter"/>
          <w:b w:val="0"/>
          <w:i w:val="0"/>
          <w:color w:val="141414"/>
          <w:sz w:val="19"/>
        </w:rPr>
        <w:t xml:space="preserve"> — opção do contribuinte entre precatório e compensação do indébito transitado em julgado.</w:t>
      </w:r>
    </w:p>
    <w:p>
      <w:r>
        <w:br w:type="page"/>
      </w:r>
    </w:p>
    <w:p>
      <w:pPr>
        <w:pStyle w:val="Heading1"/>
      </w:pPr>
      <w:r>
        <w:t xml:space="preserve">Capítulo 2 · Compensação de ICMS com Créditos Acumulados — SP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 xml:space="preserve">PRODUTO: COMPENSAÇÃO DO ICMS MENSAL COM CRÉDITOS ACUMULADOS TRANSFERIDOS DE TERCEIROS (O CLIENTE É A CESSIONÁRIA)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Uso INTERNO — treinamento de Executivos de Vendas da Lucro Ativo. Não é material de cliente.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Cada resposta traz o conteúdo técnico + como traduzir para o cliente. Onde há número comercial (percentual de êxito, prazo, honorário), está marcado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— nunca prometa esses números sem confirmar com a área técnica/comercial.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1 — CONCEITO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1. O que é, em uma frase, o produto de ICMS-SP?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</w:t>
      </w:r>
      <w:r>
        <w:rPr>
          <w:rFonts w:ascii="Inter" w:hAnsi="Inter"/>
          <w:b/>
          <w:i w:val="0"/>
          <w:color w:val="010860"/>
          <w:sz w:val="20"/>
        </w:rPr>
        <w:t xml:space="preserve">compensação do ICMS mensal a recolher</w:t>
      </w:r>
      <w:r>
        <w:rPr>
          <w:rFonts w:ascii="Inter" w:hAnsi="Inter"/>
          <w:b w:val="0"/>
          <w:i w:val="0"/>
          <w:color w:val="141414"/>
          <w:sz w:val="20"/>
        </w:rPr>
        <w:t xml:space="preserve"> da empresa com </w:t>
      </w:r>
      <w:r>
        <w:rPr>
          <w:rFonts w:ascii="Inter" w:hAnsi="Inter"/>
          <w:b/>
          <w:i w:val="0"/>
          <w:color w:val="010860"/>
          <w:sz w:val="20"/>
        </w:rPr>
        <w:t xml:space="preserve">créditos acumulados de ICMS de terceiros</w:t>
      </w:r>
      <w:r>
        <w:rPr>
          <w:rFonts w:ascii="Inter" w:hAnsi="Inter"/>
          <w:b w:val="0"/>
          <w:i w:val="0"/>
          <w:color w:val="141414"/>
          <w:sz w:val="20"/>
        </w:rPr>
        <w:t xml:space="preserve">, transferidos para a conta da empresa junto à SEFAZ/SP: o crédito é lançado na apuração (GIA e SPED), </w:t>
      </w:r>
      <w:r>
        <w:rPr>
          <w:rFonts w:ascii="Inter" w:hAnsi="Inter"/>
          <w:b/>
          <w:i w:val="0"/>
          <w:color w:val="010860"/>
          <w:sz w:val="20"/>
        </w:rPr>
        <w:t xml:space="preserve">reduz o imposto do mês na fonte</w:t>
      </w:r>
      <w:r>
        <w:rPr>
          <w:rFonts w:ascii="Inter" w:hAnsi="Inter"/>
          <w:b w:val="0"/>
          <w:i w:val="0"/>
          <w:color w:val="141414"/>
          <w:sz w:val="20"/>
        </w:rPr>
        <w:t xml:space="preserve"> e o cliente paga pelo crédito utilizado com deságio — economia direta, recorrente, mês a mês.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2. Por que NÃO chamamos de "recuperação de ICMS"?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 é reaver imposto próprio pago a maior no passado (retroativo) — outra tese, com outro rito. O nosso produto atua no </w:t>
      </w:r>
      <w:r>
        <w:rPr>
          <w:rFonts w:ascii="Inter" w:hAnsi="Inter"/>
          <w:b/>
          <w:i w:val="0"/>
          <w:color w:val="010860"/>
          <w:sz w:val="20"/>
        </w:rPr>
        <w:t xml:space="preserve">imposto corrente</w:t>
      </w:r>
      <w:r>
        <w:rPr>
          <w:rFonts w:ascii="Inter" w:hAnsi="Inter"/>
          <w:b w:val="0"/>
          <w:i w:val="0"/>
          <w:color w:val="141414"/>
          <w:sz w:val="20"/>
        </w:rPr>
        <w:t xml:space="preserve">: a empresa deixa de desembolsar o valor integral do ICMS do mês porque compensa a maior parte com crédito transferido. Os termos corretos são </w:t>
      </w:r>
      <w:r>
        <w:rPr>
          <w:rFonts w:ascii="Inter" w:hAnsi="Inter"/>
          <w:b/>
          <w:i w:val="0"/>
          <w:color w:val="010860"/>
          <w:sz w:val="20"/>
        </w:rPr>
        <w:t xml:space="preserve">compensação e aproveitamento de créditos acumulados</w:t>
      </w:r>
      <w:r>
        <w:rPr>
          <w:rFonts w:ascii="Inter" w:hAnsi="Inter"/>
          <w:b w:val="0"/>
          <w:i w:val="0"/>
          <w:color w:val="141414"/>
          <w:sz w:val="20"/>
        </w:rPr>
        <w:t xml:space="preserve">. Usar "recuperação" cria expectativa errada (de restituição retroativa) e descreve o que o produto não é.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3. De onde vêm os créditos utilizados?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De </w:t>
      </w:r>
      <w:r>
        <w:rPr>
          <w:rFonts w:ascii="Inter" w:hAnsi="Inter"/>
          <w:b/>
          <w:i w:val="0"/>
          <w:color w:val="010860"/>
          <w:sz w:val="20"/>
        </w:rPr>
        <w:t xml:space="preserve">saldos acumulados por empresas incorporadas por multinacionais</w:t>
      </w:r>
      <w:r>
        <w:rPr>
          <w:rFonts w:ascii="Inter" w:hAnsi="Inter"/>
          <w:b w:val="0"/>
          <w:i w:val="0"/>
          <w:color w:val="141414"/>
          <w:sz w:val="20"/>
        </w:rPr>
        <w:t xml:space="preserve"> que, ao levantarem seus ativos, absorveram os respectivos créditos — originados das operações de compra, venda, prestação de serviços e importação. Esses créditos encontram-se </w:t>
      </w:r>
      <w:r>
        <w:rPr>
          <w:rFonts w:ascii="Inter" w:hAnsi="Inter"/>
          <w:b/>
          <w:i w:val="0"/>
          <w:color w:val="010860"/>
          <w:sz w:val="20"/>
        </w:rPr>
        <w:t xml:space="preserve">alocados em conta eletrônica junto à SEFAZ/SP, devidamente habilitados e escriturados digitalmente</w:t>
      </w:r>
      <w:r>
        <w:rPr>
          <w:rFonts w:ascii="Inter" w:hAnsi="Inter"/>
          <w:b w:val="0"/>
          <w:i w:val="0"/>
          <w:color w:val="141414"/>
          <w:sz w:val="20"/>
        </w:rPr>
        <w:t xml:space="preserve">, passíveis de transferência para compensação do saldo de ICMS das empresas destinatárias.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4. O que é "crédito acumulado" e por que ele existe?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ICMS é </w:t>
      </w:r>
      <w:r>
        <w:rPr>
          <w:rFonts w:ascii="Inter" w:hAnsi="Inter"/>
          <w:b/>
          <w:i w:val="0"/>
          <w:color w:val="010860"/>
          <w:sz w:val="20"/>
        </w:rPr>
        <w:t xml:space="preserve">não-cumulativo</w:t>
      </w:r>
      <w:r>
        <w:rPr>
          <w:rFonts w:ascii="Inter" w:hAnsi="Inter"/>
          <w:b w:val="0"/>
          <w:i w:val="0"/>
          <w:color w:val="141414"/>
          <w:sz w:val="20"/>
        </w:rPr>
        <w:t xml:space="preserve">: credita-se o imposto das entradas e debita-se o das saídas. Quando, de forma estrutural, os créditos superam os débitos, forma-se um </w:t>
      </w:r>
      <w:r>
        <w:rPr>
          <w:rFonts w:ascii="Inter" w:hAnsi="Inter"/>
          <w:b/>
          <w:i w:val="0"/>
          <w:color w:val="010860"/>
          <w:sz w:val="20"/>
        </w:rPr>
        <w:t xml:space="preserve">saldo credor</w:t>
      </w:r>
      <w:r>
        <w:rPr>
          <w:rFonts w:ascii="Inter" w:hAnsi="Inter"/>
          <w:b w:val="0"/>
          <w:i w:val="0"/>
          <w:color w:val="141414"/>
          <w:sz w:val="20"/>
        </w:rPr>
        <w:t xml:space="preserve"> que a operação não absorve. Nas hipóteses legais (RICMS-SP, art. 71), esse saldo é reconhecido como </w:t>
      </w:r>
      <w:r>
        <w:rPr>
          <w:rFonts w:ascii="Inter" w:hAnsi="Inter"/>
          <w:b/>
          <w:i w:val="0"/>
          <w:color w:val="010860"/>
          <w:sz w:val="20"/>
        </w:rPr>
        <w:t xml:space="preserve">crédito acumulado</w:t>
      </w:r>
      <w:r>
        <w:rPr>
          <w:rFonts w:ascii="Inter" w:hAnsi="Inter"/>
          <w:b w:val="0"/>
          <w:i w:val="0"/>
          <w:color w:val="141414"/>
          <w:sz w:val="20"/>
        </w:rPr>
        <w:t xml:space="preserve"> — apropriável e transferível. As causas típicas no detentor do crédito: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Exportação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 saída para o exterior é imune/desonerada, mas a lei garante a manutenção do crédito das entradas. O crédito entra, não há débito na saída, acumula.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Diferimento / suspensão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imposto é postergado para etapa posterior da cadeia; o estabelecimento faz saídas sem débito (ou com débito reduzido), mas se credita das entradas.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Saída com alíquota menor que a de entrada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compra a 18% e vende a 7% ou 12% (interestadual, produtos com carga reduzida etc.). A diferença vira saldo credor estrutural.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Isenção/não-incidência com manutenção de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— saídas desoneradas em que a lei permite manter o crédito da entrada.</w:t>
      </w:r>
    </w:p>
    <w:p>
      <w:pPr>
        <w:pStyle w:val="Heading1"/>
      </w:pPr>
      <w:r>
        <w:t xml:space="preserve">SEÇÃO 2 — BASE LEGAL (verificada)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5. Qual a base legal do produto? (o executivo precisa citar com segurança)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Constituição Federal, art. 155, §2º:</w:t>
      </w:r>
      <w:r>
        <w:rPr>
          <w:rFonts w:ascii="Inter" w:hAnsi="Inter"/>
          <w:b w:val="0"/>
          <w:i w:val="0"/>
          <w:color w:val="141414"/>
          <w:sz w:val="19"/>
        </w:rPr>
        <w:t xml:space="preserve"> institui a não-cumulatividade do ICMS — a raiz constitucional do direito ao crédito.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Lei Complementar nº 87/1996 (Lei Kandir):</w:t>
      </w:r>
      <w:r>
        <w:rPr>
          <w:rFonts w:ascii="Inter" w:hAnsi="Inter"/>
          <w:b w:val="0"/>
          <w:i w:val="0"/>
          <w:color w:val="141414"/>
          <w:sz w:val="19"/>
        </w:rPr>
        <w:t xml:space="preserve"> norma nacional do ICMS. Arts. 19 a 23 (direito ao crédito) e art. 25 (saldos credores e transferência de crédito acumulado a terceiros).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 — Decreto nº 45.490/2000, arts. 71 a 84:</w:t>
      </w:r>
      <w:r>
        <w:rPr>
          <w:rFonts w:ascii="Inter" w:hAnsi="Inter"/>
          <w:b w:val="0"/>
          <w:i w:val="0"/>
          <w:color w:val="141414"/>
          <w:sz w:val="19"/>
        </w:rPr>
        <w:t xml:space="preserve"> o regime do crédito acumulado — hipóteses geradoras (art. 71), geração/apropriação e formas de utilização, incluindo a transferência a outros contribuintes.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RICMS-SP, art. 99 — o lançamento:</w:t>
      </w:r>
      <w:r>
        <w:rPr>
          <w:rFonts w:ascii="Inter" w:hAnsi="Inter"/>
          <w:b w:val="0"/>
          <w:i w:val="0"/>
          <w:color w:val="141414"/>
          <w:sz w:val="19"/>
        </w:rPr>
        <w:t xml:space="preserve"> fundamento citado no material-base da operação para o lançamento do crédito transferido no campo "Outros Créditos" da GIA e no SPED, com a compensação homologada junto à SEFAZ/SP.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Portaria SRE nº 65/2023:</w:t>
      </w:r>
      <w:r>
        <w:rPr>
          <w:rFonts w:ascii="Inter" w:hAnsi="Inter"/>
          <w:b w:val="0"/>
          <w:i w:val="0"/>
          <w:color w:val="141414"/>
          <w:sz w:val="19"/>
        </w:rPr>
        <w:t xml:space="preserve"> disciplina a apropriação e a utilização do crédito acumulado e o sistema e-CredAc — a "conta eletrônica" onde os créditos ficam alocados e são transferidos (substituiu a Portaria CAT nº 26/2010). Desde 1º/jan/2026, a fonte de dados dos pedidos passou da GIA para a EFD (SPED Fiscal).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Observação de precisão: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os grandes marcos acima estão confirmados. Se o cliente pedir o </w:t>
            </w:r>
            <w:r>
              <w:rPr>
                <w:rFonts w:ascii="Inter" w:hAnsi="Inter"/>
                <w:b/>
                <w:color w:val="010860"/>
                <w:sz w:val="19"/>
              </w:rPr>
              <w:t>inciso ou parágrafo exato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de um artigo (ex.: qual inciso do art. 71 cobre o caso dele), </w:t>
            </w:r>
            <w:r>
              <w:rPr>
                <w:rFonts w:ascii="Inter" w:hAnsi="Inter"/>
                <w:b/>
                <w:color w:val="010860"/>
                <w:sz w:val="19"/>
              </w:rPr>
              <w:t>não improvise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encaminhe à área técnica. Numeração fina de incisos =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 caso a caso)</w:t>
            </w:r>
            <w:r>
              <w:rPr>
                <w:rFonts w:ascii="Inter" w:hAnsi="Inter"/>
                <w:b w:val="0"/>
                <w:color w:val="3A2E14"/>
                <w:sz w:val="19"/>
              </w:rPr>
              <w:t>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3 — NÃO CONFUNDIR (papéis e teses vizinhas)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6. Qual a diferença entre o nosso produto, a apropriação de crédito próprio e a "recuperação"?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type="dxa" w:w="192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Modalidade</w:t>
            </w:r>
          </w:p>
        </w:tc>
        <w:tc>
          <w:tcPr>
            <w:tcW w:type="dxa" w:w="243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O que é</w:t>
            </w:r>
          </w:p>
        </w:tc>
        <w:tc>
          <w:tcPr>
            <w:tcW w:type="dxa" w:w="266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De quem é o crédito</w:t>
            </w:r>
          </w:p>
        </w:tc>
        <w:tc>
          <w:tcPr>
            <w:tcW w:type="dxa" w:w="2608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>
              <w:rPr>
                <w:b/>
                <w:color w:val="FFFFFF"/>
              </w:rPr>
              <w:t xml:space="preserve">Papel no nosso produto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Compensação com crédito transferido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Abater o ICMS mensal com crédito acumulado recebido de terceiro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Do detentor (cedente), habilitado na SEFAZ/SP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É o produto — o nosso cliente é a cessionária</w:t>
            </w:r>
          </w:p>
        </w:tc>
      </w:tr>
      <w:tr>
        <w:tc>
          <w:tcPr>
            <w:tcW w:type="dxa" w:w="192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Apropriação de crédito próprio (e-CredAc)</w:t>
            </w:r>
          </w:p>
        </w:tc>
        <w:tc>
          <w:tcPr>
            <w:tcW w:type="dxa" w:w="243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Empresa que acumula saldo credor monetiza o próprio crédito</w:t>
            </w:r>
          </w:p>
        </w:tc>
        <w:tc>
          <w:tcPr>
            <w:tcW w:type="dxa" w:w="266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Da própria empresa</w:t>
            </w:r>
          </w:p>
        </w:tc>
        <w:tc>
          <w:tcPr>
            <w:tcW w:type="dxa" w:w="2608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É o papel do detentor/cedente — não é o nosso cliente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Recuperação (ressarcimento de ST, crédito extemporâneo)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Reaver imposto próprio pago a maior, retroativamente</w:t>
            </w:r>
          </w:p>
        </w:tc>
        <w:tc>
          <w:tcPr>
            <w:tcW w:type="dxa" w:w="266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Da própria empresa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>
              <w:t xml:space="preserve">Outra tese — fora do escopo deste produto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Regra de bolso para o executivo:</w:t>
      </w:r>
      <w:r>
        <w:rPr>
          <w:rFonts w:ascii="Inter" w:hAnsi="Inter"/>
          <w:b w:val="0"/>
          <w:i w:val="0"/>
          <w:color w:val="141414"/>
          <w:sz w:val="20"/>
        </w:rPr>
        <w:t xml:space="preserve"> o nosso cliente é quem paga muito ICMS todo mês — não quem acumula crédito. Quem acumula é o detentor, que cede o crédito com deságio. Se o prospect tem saldo credor próprio, ele não é comprador deste produto (pode, no limite, ser um futuro detentor — leve à área técnica).</w:t>
      </w:r>
    </w:p>
    <w:p>
      <w:pPr>
        <w:pStyle w:val="Heading1"/>
      </w:pPr>
      <w:r>
        <w:t xml:space="preserve">SEÇÃO 4 — COMO A OPERAÇÃO FUNCIONA (passo a passo)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7. Como funciona a operação, do início ao fim?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Qualificação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apuração do ICMS mensal do cliente (GIA/SPED) e dimensionamento do crédito necessário.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habilitado</w:t>
      </w:r>
      <w:r>
        <w:rPr>
          <w:rFonts w:ascii="Inter" w:hAnsi="Inter"/>
          <w:b w:val="0"/>
          <w:i w:val="0"/>
          <w:color w:val="141414"/>
          <w:sz w:val="19"/>
        </w:rPr>
        <w:t xml:space="preserve"> — os créditos do detentor já estão alocados e habilitados em conta eletrônica junto à SEFAZ/SP, prontos para transferência.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Lançamento</w:t>
      </w:r>
      <w:r>
        <w:rPr>
          <w:rFonts w:ascii="Inter" w:hAnsi="Inter"/>
          <w:b w:val="0"/>
          <w:i w:val="0"/>
          <w:color w:val="141414"/>
          <w:sz w:val="19"/>
        </w:rPr>
        <w:t xml:space="preserve"> — solicitamos a GIA no formato PRF, executamos o lançamento no campo "Outros Créditos" e devolvemos o arquivo já transmitido; a escrituração é espelhada no SPED.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Compensação homologada</w:t>
      </w:r>
      <w:r>
        <w:rPr>
          <w:rFonts w:ascii="Inter" w:hAnsi="Inter"/>
          <w:b w:val="0"/>
          <w:i w:val="0"/>
          <w:color w:val="141414"/>
          <w:sz w:val="19"/>
        </w:rPr>
        <w:t xml:space="preserve"> — a compensação é homologada junto à SEFAZ/SP; o abatimento ocorre na fonte e fica registrado na GIA, no SPED e na Conta Fiscal.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Constatação</w:t>
      </w:r>
      <w:r>
        <w:rPr>
          <w:rFonts w:ascii="Inter" w:hAnsi="Inter"/>
          <w:b w:val="0"/>
          <w:i w:val="0"/>
          <w:color w:val="141414"/>
          <w:sz w:val="19"/>
        </w:rPr>
        <w:t xml:space="preserve"> — a cessionária confere o lançamento pela conta eletrônica e a Conta Fiscal do mês (guias quitadas, saldo do período zerado).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Saldo remanescente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a parcela não compensada é recolhida normalmente por DARE.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Pagamento do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cliente paga pelo crédito utilizado (com deságio) somente após a constatação da conta fiscal zerada.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8. Qual o papel da Lucro Ativo em cada etapa?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Condução </w:t>
      </w:r>
      <w:r>
        <w:rPr>
          <w:rFonts w:ascii="Inter" w:hAnsi="Inter"/>
          <w:b/>
          <w:i w:val="0"/>
          <w:color w:val="010860"/>
          <w:sz w:val="20"/>
        </w:rPr>
        <w:t xml:space="preserve">integral</w:t>
      </w:r>
      <w:r>
        <w:rPr>
          <w:rFonts w:ascii="Inter" w:hAnsi="Inter"/>
          <w:b w:val="0"/>
          <w:i w:val="0"/>
          <w:color w:val="141414"/>
          <w:sz w:val="20"/>
        </w:rPr>
        <w:t xml:space="preserve"> do procedimento: dimensionamento, lançamento e transmissão da GIA, escrituração no SPED, habilitação e compensação na conta fiscal e comprovação documental (recibos de entrega da EFD, conta eletrônica, Conta Fiscal). E o compromisso de compliance do material-base: </w:t>
      </w:r>
      <w:r>
        <w:rPr>
          <w:rFonts w:ascii="Inter" w:hAnsi="Inter"/>
          <w:b/>
          <w:i w:val="0"/>
          <w:color w:val="010860"/>
          <w:sz w:val="20"/>
        </w:rPr>
        <w:t xml:space="preserve">responsabilidade do escritório pelos 5 anos seguintes a cada compensação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qualquer questão a retificar junto à SEFAZ permanece sob a responsabilidade do nosso compliance.</w:t>
      </w:r>
    </w:p>
    <w:p>
      <w:pPr>
        <w:pStyle w:val="Heading1"/>
      </w:pPr>
      <w:r>
        <w:t xml:space="preserve">SEÇÃO 5 — SISTEMAS E TERMOS (glossário operacional)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9. O que é a GIA e o que é o formato PRF?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GIA (Guia de Informação e Apuração do ICMS)</w:t>
      </w:r>
      <w:r>
        <w:rPr>
          <w:rFonts w:ascii="Inter" w:hAnsi="Inter"/>
          <w:b w:val="0"/>
          <w:i w:val="0"/>
          <w:color w:val="141414"/>
          <w:sz w:val="20"/>
        </w:rPr>
        <w:t xml:space="preserve"> é a declaração mensal do contribuinte paulista à SEFAZ-SP, que resume a apuração (débitos, créditos e saldos). </w:t>
      </w:r>
      <w:r>
        <w:rPr>
          <w:rFonts w:ascii="Inter" w:hAnsi="Inter"/>
          <w:b/>
          <w:i w:val="0"/>
          <w:color w:val="010860"/>
          <w:sz w:val="20"/>
        </w:rPr>
        <w:t xml:space="preserve">PRF</w:t>
      </w:r>
      <w:r>
        <w:rPr>
          <w:rFonts w:ascii="Inter" w:hAnsi="Inter"/>
          <w:b w:val="0"/>
          <w:i w:val="0"/>
          <w:color w:val="141414"/>
          <w:sz w:val="20"/>
        </w:rPr>
        <w:t xml:space="preserve"> é o formato do arquivo da GIA que o cliente nos envia: executamos o lançamento em "Outros Créditos" e devolvemos o arquivo já transmitido.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10. O que é o SPED Fiscal?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SPED Fiscal (EFD-ICMS/IPI)</w:t>
      </w:r>
      <w:r>
        <w:rPr>
          <w:rFonts w:ascii="Inter" w:hAnsi="Inter"/>
          <w:b w:val="0"/>
          <w:i w:val="0"/>
          <w:color w:val="141414"/>
          <w:sz w:val="20"/>
        </w:rPr>
        <w:t xml:space="preserve"> é a escrituração fiscal digital da empresa. É nele que a compensação é espelhada e habilitada; o recibo de entrega da EFD integra a comprovação documental da operação.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11. O que é o e-CredAc / a "conta eletrônica"?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e-CredAc (Sistema Eletrônico de Gerenciamento do Crédito Acumulado)</w:t>
      </w:r>
      <w:r>
        <w:rPr>
          <w:rFonts w:ascii="Inter" w:hAnsi="Inter"/>
          <w:b w:val="0"/>
          <w:i w:val="0"/>
          <w:color w:val="141414"/>
          <w:sz w:val="20"/>
        </w:rPr>
        <w:t xml:space="preserve"> é o sistema da SEFAZ-SP onde o crédito acumulado é controlado, alocado e transferido eletronicamente (Portaria SRE 65/2023). É por ele que a cessionária constata que o crédito foi efetivamente lançado e aceito na compensação.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12. O que são a Conta Fiscal e a DARE?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Conta Fiscal</w:t>
      </w:r>
      <w:r>
        <w:rPr>
          <w:rFonts w:ascii="Inter" w:hAnsi="Inter"/>
          <w:b w:val="0"/>
          <w:i w:val="0"/>
          <w:color w:val="141414"/>
          <w:sz w:val="20"/>
        </w:rPr>
        <w:t xml:space="preserve"> é o extrato/conta corrente do contribuinte na SEFAZ-SP — é nela que se constata, mês a mês, as guias quitadas e o saldo zerado antes do pagamento do crédito. </w:t>
      </w:r>
      <w:r>
        <w:rPr>
          <w:rFonts w:ascii="Inter" w:hAnsi="Inter"/>
          <w:b/>
          <w:i w:val="0"/>
          <w:color w:val="010860"/>
          <w:sz w:val="20"/>
        </w:rPr>
        <w:t xml:space="preserve">DARE</w:t>
      </w:r>
      <w:r>
        <w:rPr>
          <w:rFonts w:ascii="Inter" w:hAnsi="Inter"/>
          <w:b w:val="0"/>
          <w:i w:val="0"/>
          <w:color w:val="141414"/>
          <w:sz w:val="20"/>
        </w:rPr>
        <w:t xml:space="preserve"> é a guia de recolhimento do saldo remanescente não compensado.</w:t>
      </w:r>
    </w:p>
    <w:p>
      <w:pPr>
        <w:pStyle w:val="Heading1"/>
      </w:pPr>
      <w:r>
        <w:t xml:space="preserve">SEÇÃO 6 — NÚMEROS DA OPERAÇÃO (premissas do material-base)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13. Quais são os números de referência da operação?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Utilização do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entre 80% e 90% do ICMS apurado no mês; o remanescente é recolhido pela empresa por DARE.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Economia:</w:t>
      </w:r>
      <w:r>
        <w:rPr>
          <w:rFonts w:ascii="Inter" w:hAnsi="Inter"/>
          <w:b w:val="0"/>
          <w:i w:val="0"/>
          <w:color w:val="141414"/>
          <w:sz w:val="19"/>
        </w:rPr>
        <w:t xml:space="preserve"> aproximadamente 30% ao mês, obtida com o deságio na aquisição do crédito.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Honorários:</w:t>
      </w:r>
      <w:r>
        <w:rPr>
          <w:rFonts w:ascii="Inter" w:hAnsi="Inter"/>
          <w:b w:val="0"/>
          <w:i w:val="0"/>
          <w:color w:val="141414"/>
          <w:sz w:val="19"/>
        </w:rPr>
        <w:t xml:space="preserve"> não cobramos honorários do cliente para a execução do trabalho — as despesas do procedimento são arcadas pelo detentor dos créditos.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Momento do pagamento:</w:t>
      </w:r>
      <w:r>
        <w:rPr>
          <w:rFonts w:ascii="Inter" w:hAnsi="Inter"/>
          <w:b w:val="0"/>
          <w:i w:val="0"/>
          <w:color w:val="141414"/>
          <w:sz w:val="19"/>
        </w:rPr>
        <w:t xml:space="preserve"> o pagamento referente ao crédito utilizado ocorre somente após a constatação da conta fiscal zerada.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Estes números vêm do material comercial vigente (Apresentação ICMS-SP, base da operação).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Em proposta individual, reconfirme com a área técnica antes de personalizar — condição por cliente é (PARÂMETRO A VALIDAR).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7 — QUEM SE QUALIFICA (perfil ideal)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14. Qual o perfil ideal de cliente para este produto?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Contribuintes de ICMS em São Paulo</w:t>
      </w:r>
      <w:r>
        <w:rPr>
          <w:rFonts w:ascii="Inter" w:hAnsi="Inter"/>
          <w:b w:val="0"/>
          <w:i w:val="0"/>
          <w:color w:val="141414"/>
          <w:sz w:val="19"/>
        </w:rPr>
        <w:t xml:space="preserve"> com imposto a recolher relevante e recorrente (indústria, distribuição, comércio, importação).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Lucro Real ou Presumido</w:t>
      </w:r>
      <w:r>
        <w:rPr>
          <w:rFonts w:ascii="Inter" w:hAnsi="Inter"/>
          <w:b w:val="0"/>
          <w:i w:val="0"/>
          <w:color w:val="141414"/>
          <w:sz w:val="19"/>
        </w:rPr>
        <w:t xml:space="preserve">, com apuração organizada (GIA/SPED em dia) e situação cadastral regular.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Caixa pressionado pelo ICMS mensal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produto devolve fôlego imediato, sem litígio e sem mudar a operação do cliente.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15. Que "gatilhos" o executivo deve escutar na conversa para identificar oportunidade?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"Pago muito ICMS todo mês"; "o ICMS consome meu caixa"; "minha margem some no imposto"; "não tenho crédito para abater o débito". </w:t>
      </w:r>
      <w:r>
        <w:rPr>
          <w:rFonts w:ascii="Inter" w:hAnsi="Inter"/>
          <w:b/>
          <w:i w:val="0"/>
          <w:color w:val="010860"/>
          <w:sz w:val="20"/>
        </w:rPr>
        <w:t xml:space="preserve">Qualquer um desses é sinal de qualificação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o passo seguinte é pedir a apuração (GIA/SPED) do último mês para dimensionar.</w:t>
      </w:r>
    </w:p>
    <w:p>
      <w:pPr>
        <w:pStyle w:val="Heading1"/>
      </w:pPr>
      <w:r>
        <w:t xml:space="preserve">SEÇÃO 8 — OBJEÇÕES COMUNS E RESPOSTAS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16. "Isso é legal? É seguro?"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Totalmente. A </w:t>
      </w:r>
      <w:r>
        <w:rPr>
          <w:rFonts w:ascii="Inter" w:hAnsi="Inter"/>
          <w:b/>
          <w:i w:val="0"/>
          <w:color w:val="010860"/>
          <w:sz w:val="20"/>
        </w:rPr>
        <w:t xml:space="preserve">transferência de crédito acumulado é prevista pelo próprio regulamento paulista</w:t>
      </w:r>
      <w:r>
        <w:rPr>
          <w:rFonts w:ascii="Inter" w:hAnsi="Inter"/>
          <w:b w:val="0"/>
          <w:i w:val="0"/>
          <w:color w:val="141414"/>
          <w:sz w:val="20"/>
        </w:rPr>
        <w:t xml:space="preserve"> (RICMS-SP, arts. 71-84; Lei Kandir, art. 25). Tudo ocorre nos sistemas oficiais, com homologação da SEFAZ/SP, e fica registrado na GIA, no SPED e na Conta Fiscal. Não é liminar nem tese em disputa: é mecânica regulamentada — e o contrato prevê a responsabilidade do escritório por 5 anos após cada compensação.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17. "Por que meu contador nunca me ofereceu isso?"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contador cuida da rotina fiscal. O </w:t>
      </w:r>
      <w:r>
        <w:rPr>
          <w:rFonts w:ascii="Inter" w:hAnsi="Inter"/>
          <w:b/>
          <w:i w:val="0"/>
          <w:color w:val="010860"/>
          <w:sz w:val="20"/>
        </w:rPr>
        <w:t xml:space="preserve">acesso a créditos habilitados de detentores</w:t>
      </w:r>
      <w:r>
        <w:rPr>
          <w:rFonts w:ascii="Inter" w:hAnsi="Inter"/>
          <w:b w:val="0"/>
          <w:i w:val="0"/>
          <w:color w:val="141414"/>
          <w:sz w:val="20"/>
        </w:rPr>
        <w:t xml:space="preserve"> e a condução da transferência/compensação é especialidade de mercado — depende de relacionamento com os detentores e de engenharia documental própria. É um trabalho complementar ao da contabilidade (que, aliás, participa enviando a GIA/SPED), não concorrente.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18. "E se a SEFAZ questionar depois?"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compensação passa por </w:t>
      </w:r>
      <w:r>
        <w:rPr>
          <w:rFonts w:ascii="Inter" w:hAnsi="Inter"/>
          <w:b/>
          <w:i w:val="0"/>
          <w:color w:val="010860"/>
          <w:sz w:val="20"/>
        </w:rPr>
        <w:t xml:space="preserve">homologação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 a comprovação fica registrada (recibos da EFD, conta eletrônica, Conta Fiscal). Havendo qualquer questão a retificar, o contrato prevê a </w:t>
      </w:r>
      <w:r>
        <w:rPr>
          <w:rFonts w:ascii="Inter" w:hAnsi="Inter"/>
          <w:b/>
          <w:i w:val="0"/>
          <w:color w:val="010860"/>
          <w:sz w:val="20"/>
        </w:rPr>
        <w:t xml:space="preserve">responsabilidade do escritório pelos 5 anos seguintes</w:t>
      </w:r>
      <w:r>
        <w:rPr>
          <w:rFonts w:ascii="Inter" w:hAnsi="Inter"/>
          <w:b w:val="0"/>
          <w:i w:val="0"/>
          <w:color w:val="141414"/>
          <w:sz w:val="20"/>
        </w:rPr>
        <w:t xml:space="preserve"> a cada compensação — permanece sob o nosso compliance, não sobra para o cliente resolver sozinho.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19. "Quanto custa?"</w:t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20"/>
        </w:rPr>
        <w:t xml:space="preserve">Sem honorários do cliente</w:t>
      </w:r>
      <w:r>
        <w:rPr>
          <w:rFonts w:ascii="Inter" w:hAnsi="Inter"/>
          <w:b w:val="0"/>
          <w:i w:val="0"/>
          <w:color w:val="141414"/>
          <w:sz w:val="20"/>
        </w:rPr>
        <w:t xml:space="preserve">: paga-se apenas o crédito efetivamente utilizado, com deságio, e somente após a conta fiscal zerada. As despesas do procedimento são arcadas pelo detentor dos créditos. Condição específica por cliente: (PARÂMETRO A VALIDAR).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20. "Parece bom demais para ser verdade."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economia tem lógica de mercado: o detentor tem crédito parado (baixa liquidez) e prefere monetizá-lo com desconto; o cliente tem imposto certo todo mês e adquire esse crédito por menos do que pagaria ao Fisco. O </w:t>
      </w:r>
      <w:r>
        <w:rPr>
          <w:rFonts w:ascii="Inter" w:hAnsi="Inter"/>
          <w:b/>
          <w:i w:val="0"/>
          <w:color w:val="010860"/>
          <w:sz w:val="20"/>
        </w:rPr>
        <w:t xml:space="preserve">deságio é a ponte</w:t>
      </w:r>
      <w:r>
        <w:rPr>
          <w:rFonts w:ascii="Inter" w:hAnsi="Inter"/>
          <w:b w:val="0"/>
          <w:i w:val="0"/>
          <w:color w:val="141414"/>
          <w:sz w:val="20"/>
        </w:rPr>
        <w:t xml:space="preserve"> entre os dois — uma mecânica prevista em regulamento, com a SEFAZ/SP homologando cada etapa e todo o rastro documental disponível.</w:t>
      </w:r>
    </w:p>
    <w:p>
      <w:pPr>
        <w:pStyle w:val="Heading1"/>
      </w:pPr>
      <w:r>
        <w:t xml:space="preserve">SEÇÃO 9 — EXEMPLO PRÁTICO (ilustrativo)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21. Um exemplo numérico para o executivo entender a mecânica.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Exemplo meramente ilustrativo — números fictícios, não é promessa de resultado.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Indústria paulista apura ICMS de R$ 500.000 no mês. Com a operação: lançamento de crédito transferido cobrindo 85% do imposto (R$ 425.000) e recolhimento do remanescente por DARE (R$ 75.000). Pelo crédito utilizado, a empresa paga ao detentor o valor com deságio — desembolsando menos do que os R$ 425.000 que pagaria ao Fisco. Resultado: o ICMS do mês sai por fração do valor original e a economia se repete enquanto a operação durar (percentuais exatos por cliente: PARÂMETRO A VALIDAR).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SEÇÃO 10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22. O que pode travar ou atrasar a operação?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Apuração inconsistente</w:t>
      </w:r>
      <w:r>
        <w:rPr>
          <w:rFonts w:ascii="Inter" w:hAnsi="Inter"/>
          <w:b w:val="0"/>
          <w:i w:val="0"/>
          <w:color w:val="141414"/>
          <w:sz w:val="19"/>
        </w:rPr>
        <w:t xml:space="preserve"> — divergência entre GIA, SPED e Conta Fiscal do cliente; primeiro sanear, depois operar.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Pendências na conta fiscal</w:t>
      </w:r>
      <w:r>
        <w:rPr>
          <w:rFonts w:ascii="Inter" w:hAnsi="Inter"/>
          <w:b w:val="0"/>
          <w:i w:val="0"/>
          <w:color w:val="141414"/>
          <w:sz w:val="19"/>
        </w:rPr>
        <w:t xml:space="preserve"> — débitos em aberto ou situação cadastral irregular do estabelecimento.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indisponível no mês</w:t>
      </w:r>
      <w:r>
        <w:rPr>
          <w:rFonts w:ascii="Inter" w:hAnsi="Inter"/>
          <w:b w:val="0"/>
          <w:i w:val="0"/>
          <w:color w:val="141414"/>
          <w:sz w:val="19"/>
        </w:rPr>
        <w:t xml:space="preserve"> — volume habilitado do detentor insuficiente para a demanda; por isso o dimensionamento antecipado.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Considerar a economia antes da hora</w:t>
      </w:r>
      <w:r>
        <w:rPr>
          <w:rFonts w:ascii="Inter" w:hAnsi="Inter"/>
          <w:b w:val="0"/>
          <w:i w:val="0"/>
          <w:color w:val="141414"/>
          <w:sz w:val="19"/>
        </w:rPr>
        <w:t xml:space="preserve"> — a economia só é real após a homologação e a constatação da conta fiscal zerada; nunca antes.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23. Quando o produto NÃO é indicado?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ICMS mensal baixo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esforço operacional supera o ganho.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Simples Nacional</w:t>
      </w:r>
      <w:r>
        <w:rPr>
          <w:rFonts w:ascii="Inter" w:hAnsi="Inter"/>
          <w:b w:val="0"/>
          <w:i w:val="0"/>
          <w:color w:val="141414"/>
          <w:sz w:val="19"/>
        </w:rPr>
        <w:t xml:space="preserve"> — regime de apuração distinto; fora do escopo do produto.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Empresa com saldo credor próprio</w:t>
      </w:r>
      <w:r>
        <w:rPr>
          <w:rFonts w:ascii="Inter" w:hAnsi="Inter"/>
          <w:b w:val="0"/>
          <w:i w:val="0"/>
          <w:color w:val="141414"/>
          <w:sz w:val="19"/>
        </w:rPr>
        <w:t xml:space="preserve"> — ela não desembolsa ICMS, logo não há o que compensar. É perfil de potencial detentor/cedente — leve à área técnica, não venda o produto.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 xml:space="preserve">24. Qual a postura de compliance que o executivo deve transmitir?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Lucro Ativo opera </w:t>
      </w:r>
      <w:r>
        <w:rPr>
          <w:rFonts w:ascii="Inter" w:hAnsi="Inter"/>
          <w:b/>
          <w:i w:val="0"/>
          <w:color w:val="010860"/>
          <w:sz w:val="20"/>
        </w:rPr>
        <w:t xml:space="preserve">créditos habilitados, por sistemas oficiais e sob homologação da SEFAZ/SP</w:t>
      </w:r>
      <w:r>
        <w:rPr>
          <w:rFonts w:ascii="Inter" w:hAnsi="Inter"/>
          <w:b w:val="0"/>
          <w:i w:val="0"/>
          <w:color w:val="141414"/>
          <w:sz w:val="20"/>
        </w:rPr>
        <w:t xml:space="preserve">, com registro integral (GIA, SPED, Conta Fiscal) e responsabilidade contratual de 5 anos. O executivo nunca promete percentual sem apuração: o que se garante é o rito, a comprovação e a condução técnica.</w:t>
      </w:r>
    </w:p>
    <w:p>
      <w:pPr>
        <w:pStyle w:val="Heading1"/>
      </w:pPr>
      <w:r>
        <w:t xml:space="preserve"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Não-cumulatividade:</w:t>
      </w:r>
      <w:r>
        <w:rPr>
          <w:rFonts w:ascii="Inter" w:hAnsi="Inter"/>
          <w:b w:val="0"/>
          <w:i w:val="0"/>
          <w:color w:val="141414"/>
          <w:sz w:val="19"/>
        </w:rPr>
        <w:t xml:space="preserve"> princípio (CF, art. 155, §2º, I) pelo qual se compensa o ICMS devido nas saídas com o ICMS cobrado nas entradas, evitando tributação "em cascata".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Saldo credor:</w:t>
      </w:r>
      <w:r>
        <w:rPr>
          <w:rFonts w:ascii="Inter" w:hAnsi="Inter"/>
          <w:b w:val="0"/>
          <w:i w:val="0"/>
          <w:color w:val="141414"/>
          <w:sz w:val="19"/>
        </w:rPr>
        <w:t xml:space="preserve"> excesso de créditos sobre débitos na apuração do período.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Crédito acumulado:</w:t>
      </w:r>
      <w:r>
        <w:rPr>
          <w:rFonts w:ascii="Inter" w:hAnsi="Inter"/>
          <w:b w:val="0"/>
          <w:i w:val="0"/>
          <w:color w:val="141414"/>
          <w:sz w:val="19"/>
        </w:rPr>
        <w:t xml:space="preserve"> parcela do saldo credor decorrente de hipótese legal específica (RICMS-SP, art. 71) que pode ser apropriada, utilizada e transferida.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Transferência de crédito:</w:t>
      </w:r>
      <w:r>
        <w:rPr>
          <w:rFonts w:ascii="Inter" w:hAnsi="Inter"/>
          <w:b w:val="0"/>
          <w:i w:val="0"/>
          <w:color w:val="141414"/>
          <w:sz w:val="19"/>
        </w:rPr>
        <w:t xml:space="preserve"> operação pela qual o detentor cede crédito acumulado a outro contribuinte, nas hipóteses do RICMS-SP.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Cessionária: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 empresa que recebe o crédito transferido e o utiliza para compensar o próprio ICMS — o nosso cliente.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Detentor (cedente):</w:t>
      </w:r>
      <w:r>
        <w:rPr>
          <w:rFonts w:ascii="Inter" w:hAnsi="Inter"/>
          <w:b w:val="0"/>
          <w:i w:val="0"/>
          <w:color w:val="141414"/>
          <w:sz w:val="19"/>
        </w:rPr>
        <w:t xml:space="preserve"> quem acumulou o crédito e o cede com deságio; arca com as despesas do procedimento.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Deságio:</w:t>
      </w:r>
      <w:r>
        <w:rPr>
          <w:rFonts w:ascii="Inter" w:hAnsi="Inter"/>
          <w:b w:val="0"/>
          <w:i w:val="0"/>
          <w:color w:val="141414"/>
          <w:sz w:val="19"/>
        </w:rPr>
        <w:t xml:space="preserve"> desconto sobre o valor de face do crédito — é a fonte da economia do cliente.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"Outros Créditos":</w:t>
      </w:r>
      <w:r>
        <w:rPr>
          <w:rFonts w:ascii="Inter" w:hAnsi="Inter"/>
          <w:b w:val="0"/>
          <w:i w:val="0"/>
          <w:color w:val="141414"/>
          <w:sz w:val="19"/>
        </w:rPr>
        <w:t xml:space="preserve"> campo da GIA onde o crédito transferido é lançado (fundamento: art. 99 do RICMS-SP, conforme material-base).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PRF:</w:t>
      </w:r>
      <w:r>
        <w:rPr>
          <w:rFonts w:ascii="Inter" w:hAnsi="Inter"/>
          <w:b w:val="0"/>
          <w:i w:val="0"/>
          <w:color w:val="141414"/>
          <w:sz w:val="19"/>
        </w:rPr>
        <w:t xml:space="preserve"> formato do arquivo da GIA enviado pelo cliente para o lançamento; devolvemos o arquivo já transmitido.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e-CredAc:</w:t>
      </w:r>
      <w:r>
        <w:rPr>
          <w:rFonts w:ascii="Inter" w:hAnsi="Inter"/>
          <w:b w:val="0"/>
          <w:i w:val="0"/>
          <w:color w:val="141414"/>
          <w:sz w:val="19"/>
        </w:rPr>
        <w:t xml:space="preserve"> Sistema Eletrônico de Gerenciamento do Crédito Acumulado da SEFAZ-SP (Portaria SRE 65/2023) — a "conta eletrônica" dos créditos.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GIA:</w:t>
      </w:r>
      <w:r>
        <w:rPr>
          <w:rFonts w:ascii="Inter" w:hAnsi="Inter"/>
          <w:b w:val="0"/>
          <w:i w:val="0"/>
          <w:color w:val="141414"/>
          <w:sz w:val="19"/>
        </w:rPr>
        <w:t xml:space="preserve"> Guia de Informação e Apuração do ICMS; declaração mensal do contribuinte paulista.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SPED Fiscal (EFD-ICMS/IPI):</w:t>
      </w:r>
      <w:r>
        <w:rPr>
          <w:rFonts w:ascii="Inter" w:hAnsi="Inter"/>
          <w:b w:val="0"/>
          <w:i w:val="0"/>
          <w:color w:val="141414"/>
          <w:sz w:val="19"/>
        </w:rPr>
        <w:t xml:space="preserve"> escrituração fiscal digital; espelha a compensação e gera o recibo de entrega (comprovação).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Conta Fiscal:</w:t>
      </w:r>
      <w:r>
        <w:rPr>
          <w:rFonts w:ascii="Inter" w:hAnsi="Inter"/>
          <w:b w:val="0"/>
          <w:i w:val="0"/>
          <w:color w:val="141414"/>
          <w:sz w:val="19"/>
        </w:rPr>
        <w:t xml:space="preserve"> extrato/conta corrente fiscal do contribuinte na SEFAZ-SP; onde se constata guias quitadas e saldo zerado.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DARE:</w:t>
      </w:r>
      <w:r>
        <w:rPr>
          <w:rFonts w:ascii="Inter" w:hAnsi="Inter"/>
          <w:b w:val="0"/>
          <w:i w:val="0"/>
          <w:color w:val="141414"/>
          <w:sz w:val="19"/>
        </w:rPr>
        <w:t xml:space="preserve"> guia de recolhimento do saldo remanescente não compensado.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Homologação:</w:t>
      </w:r>
      <w:r>
        <w:rPr>
          <w:rFonts w:ascii="Inter" w:hAnsi="Inter"/>
          <w:b w:val="0"/>
          <w:i w:val="0"/>
          <w:color w:val="141414"/>
          <w:sz w:val="19"/>
        </w:rPr>
        <w:t xml:space="preserve"> ato pelo qual a SEFAZ-SP valida a compensação, autorizando seus efeitos.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Glosa:</w:t>
      </w:r>
      <w:r>
        <w:rPr>
          <w:rFonts w:ascii="Inter" w:hAnsi="Inter"/>
          <w:b w:val="0"/>
          <w:i w:val="0"/>
          <w:color w:val="141414"/>
          <w:sz w:val="19"/>
        </w:rPr>
        <w:t xml:space="preserve"> rejeição, total ou parcial, de crédito considerado indevido ou não comprovado.</w:t>
      </w:r>
    </w:p>
    <w:p>
      <w:pPr>
        <w:pStyle w:val="Heading1"/>
      </w:pPr>
      <w:r>
        <w:t xml:space="preserve">BASE LEGAL CITADA (para conferência do time técnico)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CF, art. 155, §2º</w:t>
      </w:r>
      <w:r>
        <w:rPr>
          <w:rFonts w:ascii="Inter" w:hAnsi="Inter"/>
          <w:b w:val="0"/>
          <w:i w:val="0"/>
          <w:color w:val="141414"/>
          <w:sz w:val="19"/>
        </w:rPr>
        <w:t xml:space="preserve"> (não-cumulatividade do ICMS).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LC 87/1996 (Lei Kandir)</w:t>
      </w:r>
      <w:r>
        <w:rPr>
          <w:rFonts w:ascii="Inter" w:hAnsi="Inter"/>
          <w:b w:val="0"/>
          <w:i w:val="0"/>
          <w:color w:val="141414"/>
          <w:sz w:val="19"/>
        </w:rPr>
        <w:t xml:space="preserve"> — arts. 19-23 (direito ao crédito) e art. 25 (saldos credores e transferência de crédito acumulado).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 (Decreto 45.490/2000)</w:t>
      </w:r>
      <w:r>
        <w:rPr>
          <w:rFonts w:ascii="Inter" w:hAnsi="Inter"/>
          <w:b w:val="0"/>
          <w:i w:val="0"/>
          <w:color w:val="141414"/>
          <w:sz w:val="19"/>
        </w:rPr>
        <w:t xml:space="preserve"> — arts. 71 a 84 (crédito acumulado: hipóteses, apropriação, utilização e transferência).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RICMS-SP, art. 99</w:t>
      </w:r>
      <w:r>
        <w:rPr>
          <w:rFonts w:ascii="Inter" w:hAnsi="Inter"/>
          <w:b w:val="0"/>
          <w:i w:val="0"/>
          <w:color w:val="141414"/>
          <w:sz w:val="19"/>
        </w:rPr>
        <w:t xml:space="preserve"> — fundamento do lançamento em "Outros Créditos" na GIA/SPED (conforme material-base da operação).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Portaria SRE 65/2023</w:t>
      </w:r>
      <w:r>
        <w:rPr>
          <w:rFonts w:ascii="Inter" w:hAnsi="Inter"/>
          <w:b w:val="0"/>
          <w:i w:val="0"/>
          <w:color w:val="141414"/>
          <w:sz w:val="19"/>
        </w:rPr>
        <w:t xml:space="preserve"> — apropriação/utilização do crédito acumulado e sistema e-CredAc (fonte de dados: EFD desde 1º/jan/2026).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 xml:space="preserve">Todos os números comerciais (percentual de utilização, deságio/economia e condições) refletem o material-base vigente 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e permanecem como PARÂMETRO A VALIDAR em proposta individual, até confirmação da área técnica/comercial da Lucro Ativo.</w:t>
            </w:r>
          </w:p>
        </w:tc>
      </w:tr>
    </w:tbl>
    <w:p>
      <w:pPr>
        <w:spacing w:after="80"/>
      </w:pPr>
    </w:p>
    <w:p>
      <w:pPr>
        <w:pStyle w:val="Heading1"/>
      </w:pPr>
      <w:r>
        <w:t>Capítulo 3 · Transação Tributária (PGFN) + Créditos Federais</w:t>
      </w:r>
    </w:p>
    <w:p>
      <w:pPr>
        <w:spacing w:after="40" w:before="80"/>
      </w:pPr>
      <w:r>
        <w:rPr>
          <w:rFonts w:ascii="Montserrat" w:hAnsi="Montserrat"/>
          <w:b/>
          <w:color w:val="7A5A1E"/>
          <w:sz w:val="17"/>
          <w:spacing w:val="40"/>
        </w:rPr>
        <w:t>MATERIAL DE TREINAMENTO PARA EXECUTIVOS DE VENDAS — LUCRO 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EAF2F8"/>
            <w:tcBorders>
              <w:top w:val="single" w:sz="4" w:space="0" w:color="D8E6E2"/>
              <w:bottom w:val="single" w:sz="4" w:space="0" w:color="D8E6E2"/>
              <w:right w:val="single" w:sz="4" w:space="0" w:color="D8E6E2"/>
              <w:left w:val="single" w:sz="26" w:space="0" w:color="1F618D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1F618D"/>
                <w:sz w:val="21"/>
              </w:rPr>
              <w:t>▸ COMO USAR ESTE FAQ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i w:val="0"/>
                <w:color w:val="010860"/>
                <w:sz w:val="19"/>
              </w:rPr>
              <w:t>Uso interno. Não distribuir ao cliente.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Documento técnico-denso. Base normativa verificada em Ago/2026 (confira sempre a versão vigente antes de negociar). Números comerciais (percentual de desconto efetivo, honorários, prazo final) são sempre </w:t>
            </w:r>
            <w:r>
              <w:rPr>
                <w:rFonts w:ascii="Inter" w:hAnsi="Inter"/>
                <w:b/>
                <w:i w:val="0"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i w:val="0"/>
                <w:color w:val="222A28"/>
                <w:sz w:val="19"/>
              </w:rPr>
              <w:t xml:space="preserve"> caso a caso — nunca prometa.</w:t>
            </w:r>
          </w:p>
        </w:tc>
      </w:tr>
    </w:tbl>
    <w:p>
      <w:pPr>
        <w:spacing w:after="80"/>
      </w:pPr>
    </w:p>
    <w:p>
      <w:pPr>
        <w:pStyle w:val="Heading1"/>
      </w:pPr>
      <w:r>
        <w:t>PARTE 1 — CONCEITO E DIFERENÇAS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1. O que é, em uma frase, o produto que a Lucro Ativo entrega aqui?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</w:t>
      </w:r>
      <w:r>
        <w:rPr>
          <w:rFonts w:ascii="Inter" w:hAnsi="Inter"/>
          <w:b/>
          <w:i w:val="0"/>
          <w:color w:val="010860"/>
          <w:sz w:val="20"/>
        </w:rPr>
        <w:t>resolução definitiva de grandes passivos fiscais federais inscritos em Dívida Ativa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por meio de </w:t>
      </w:r>
      <w:r>
        <w:rPr>
          <w:rFonts w:ascii="Inter" w:hAnsi="Inter"/>
          <w:b/>
          <w:i w:val="0"/>
          <w:color w:val="010860"/>
          <w:sz w:val="20"/>
        </w:rPr>
        <w:t>Transação Tributária individual com a PGFN</w:t>
      </w:r>
      <w:r>
        <w:rPr>
          <w:rFonts w:ascii="Inter" w:hAnsi="Inter"/>
          <w:b w:val="0"/>
          <w:i w:val="0"/>
          <w:color w:val="141414"/>
          <w:sz w:val="20"/>
        </w:rPr>
        <w:t xml:space="preserve">, combinada com </w:t>
      </w:r>
      <w:r>
        <w:rPr>
          <w:rFonts w:ascii="Inter" w:hAnsi="Inter"/>
          <w:b/>
          <w:i w:val="0"/>
          <w:color w:val="010860"/>
          <w:sz w:val="20"/>
        </w:rPr>
        <w:t>liquidação do saldo usando créditos federais</w:t>
      </w:r>
      <w:r>
        <w:rPr>
          <w:rFonts w:ascii="Inter" w:hAnsi="Inter"/>
          <w:b w:val="0"/>
          <w:i w:val="0"/>
          <w:color w:val="141414"/>
          <w:sz w:val="20"/>
        </w:rPr>
        <w:t xml:space="preserve"> — Prejuízo Fiscal (PF), Base de Cálculo Negativa da CSLL (BCN) e demais direitos creditórios federais admitidos — e precedida de uma </w:t>
      </w:r>
      <w:r>
        <w:rPr>
          <w:rFonts w:ascii="Inter" w:hAnsi="Inter"/>
          <w:b/>
          <w:i w:val="0"/>
          <w:color w:val="010860"/>
          <w:sz w:val="20"/>
        </w:rPr>
        <w:t>perícia das CDAs</w:t>
      </w:r>
      <w:r>
        <w:rPr>
          <w:rFonts w:ascii="Inter" w:hAnsi="Inter"/>
          <w:b w:val="0"/>
          <w:i w:val="0"/>
          <w:color w:val="141414"/>
          <w:sz w:val="20"/>
        </w:rPr>
        <w:t xml:space="preserve"> para expurgar valores indevidos (prescrição, decadência, vícios). Não é "renegociar dívida"; é engenharia tributária para extinguir o passivo pelo menor caixa possível.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2. O que é Transação Tributária?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uma das formas de </w:t>
      </w:r>
      <w:r>
        <w:rPr>
          <w:rFonts w:ascii="Inter" w:hAnsi="Inter"/>
          <w:b/>
          <w:i w:val="0"/>
          <w:color w:val="010860"/>
          <w:sz w:val="20"/>
        </w:rPr>
        <w:t>extinção do crédito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 previstas no </w:t>
      </w:r>
      <w:r>
        <w:rPr>
          <w:rFonts w:ascii="Inter" w:hAnsi="Inter"/>
          <w:b/>
          <w:i w:val="0"/>
          <w:color w:val="010860"/>
          <w:sz w:val="20"/>
        </w:rPr>
        <w:t>CTN, art. 156, III</w:t>
      </w:r>
      <w:r>
        <w:rPr>
          <w:rFonts w:ascii="Inter" w:hAnsi="Inter"/>
          <w:b w:val="0"/>
          <w:i w:val="0"/>
          <w:color w:val="141414"/>
          <w:sz w:val="20"/>
        </w:rPr>
        <w:t xml:space="preserve">, disciplinada em tese pelo </w:t>
      </w:r>
      <w:r>
        <w:rPr>
          <w:rFonts w:ascii="Inter" w:hAnsi="Inter"/>
          <w:b/>
          <w:i w:val="0"/>
          <w:color w:val="010860"/>
          <w:sz w:val="20"/>
        </w:rPr>
        <w:t>CTN, art. 171</w:t>
      </w:r>
      <w:r>
        <w:rPr>
          <w:rFonts w:ascii="Inter" w:hAnsi="Inter"/>
          <w:b w:val="0"/>
          <w:i w:val="0"/>
          <w:color w:val="141414"/>
          <w:sz w:val="20"/>
        </w:rPr>
        <w:t xml:space="preserve"> (a lei pode facultar ao Fisco e ao contribuinte celebrar transação que, mediante </w:t>
      </w:r>
      <w:r>
        <w:rPr>
          <w:rFonts w:ascii="Inter" w:hAnsi="Inter"/>
          <w:b/>
          <w:i w:val="0"/>
          <w:color w:val="010860"/>
          <w:sz w:val="20"/>
        </w:rPr>
        <w:t>concessões mútuas</w:t>
      </w:r>
      <w:r>
        <w:rPr>
          <w:rFonts w:ascii="Inter" w:hAnsi="Inter"/>
          <w:b w:val="0"/>
          <w:i w:val="0"/>
          <w:color w:val="141414"/>
          <w:sz w:val="20"/>
        </w:rPr>
        <w:t xml:space="preserve">, termine o litígio e extinga o crédito). Na prática federal, quem dá corpo a isso é a </w:t>
      </w:r>
      <w:r>
        <w:rPr>
          <w:rFonts w:ascii="Inter" w:hAnsi="Inter"/>
          <w:b/>
          <w:i w:val="0"/>
          <w:color w:val="010860"/>
          <w:sz w:val="20"/>
        </w:rPr>
        <w:t>Lei nº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 (Lei Geral da Transação). É um acordo: o contribuinte paga de forma viável, a União concede descontos/prazos e recupera crédito que provavelmente não receberia.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3. Qual a diferença entre Transação e parcelamento comum?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parcelamento comum</w:t>
      </w:r>
      <w:r>
        <w:rPr>
          <w:rFonts w:ascii="Inter" w:hAnsi="Inter"/>
          <w:b w:val="0"/>
          <w:i w:val="0"/>
          <w:color w:val="141414"/>
          <w:sz w:val="20"/>
        </w:rPr>
        <w:t xml:space="preserve"> reconhece a dívida integral, que continua corrigida pela </w:t>
      </w:r>
      <w:r>
        <w:rPr>
          <w:rFonts w:ascii="Inter" w:hAnsi="Inter"/>
          <w:b/>
          <w:i w:val="0"/>
          <w:color w:val="010860"/>
          <w:sz w:val="20"/>
        </w:rPr>
        <w:t>SELIC</w:t>
      </w:r>
      <w:r>
        <w:rPr>
          <w:rFonts w:ascii="Inter" w:hAnsi="Inter"/>
          <w:b w:val="0"/>
          <w:i w:val="0"/>
          <w:color w:val="141414"/>
          <w:sz w:val="20"/>
        </w:rPr>
        <w:t xml:space="preserve">, e paga o valor cheio (principal + multa + juros + encargos) diluído no tempo — </w:t>
      </w:r>
      <w:r>
        <w:rPr>
          <w:rFonts w:ascii="Inter" w:hAnsi="Inter"/>
          <w:b/>
          <w:i w:val="0"/>
          <w:color w:val="010860"/>
          <w:sz w:val="20"/>
        </w:rPr>
        <w:t>não há desconto</w:t>
      </w:r>
      <w:r>
        <w:rPr>
          <w:rFonts w:ascii="Inter" w:hAnsi="Inter"/>
          <w:b w:val="0"/>
          <w:i w:val="0"/>
          <w:color w:val="141414"/>
          <w:sz w:val="20"/>
        </w:rPr>
        <w:t xml:space="preserve"> e não há uso de crédito; é diluição, não redução. A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traz </w:t>
      </w:r>
      <w:r>
        <w:rPr>
          <w:rFonts w:ascii="Inter" w:hAnsi="Inter"/>
          <w:b/>
          <w:i w:val="0"/>
          <w:color w:val="010860"/>
          <w:sz w:val="20"/>
        </w:rPr>
        <w:t>concessões da União</w:t>
      </w:r>
      <w:r>
        <w:rPr>
          <w:rFonts w:ascii="Inter" w:hAnsi="Inter"/>
          <w:b w:val="0"/>
          <w:i w:val="0"/>
          <w:color w:val="141414"/>
          <w:sz w:val="20"/>
        </w:rPr>
        <w:t xml:space="preserve"> — desconto sobre acessórios, prazo alongado, e a possibilidade de </w:t>
      </w:r>
      <w:r>
        <w:rPr>
          <w:rFonts w:ascii="Inter" w:hAnsi="Inter"/>
          <w:b/>
          <w:i w:val="0"/>
          <w:color w:val="010860"/>
          <w:sz w:val="20"/>
        </w:rPr>
        <w:t>quitar com PF/BCN e outros créditos admitidos</w:t>
      </w:r>
      <w:r>
        <w:rPr>
          <w:rFonts w:ascii="Inter" w:hAnsi="Inter"/>
          <w:b w:val="0"/>
          <w:i w:val="0"/>
          <w:color w:val="141414"/>
          <w:sz w:val="20"/>
        </w:rPr>
        <w:t xml:space="preserve">. O valor de partida ainda passa pela </w:t>
      </w:r>
      <w:r>
        <w:rPr>
          <w:rFonts w:ascii="Inter" w:hAnsi="Inter"/>
          <w:b/>
          <w:i w:val="0"/>
          <w:color w:val="010860"/>
          <w:sz w:val="20"/>
        </w:rPr>
        <w:t>perícia da CDA</w:t>
      </w:r>
      <w:r>
        <w:rPr>
          <w:rFonts w:ascii="Inter" w:hAnsi="Inter"/>
          <w:b w:val="0"/>
          <w:i w:val="0"/>
          <w:color w:val="141414"/>
          <w:sz w:val="20"/>
        </w:rPr>
        <w:t xml:space="preserve"> (que pode derrubar parte da dívida antes de negociar) e pela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 (que define o teto de desconto).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4. Por que o parcelamento comum "sai mais caro"?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Porque o saldo é atualizado pela </w:t>
      </w:r>
      <w:r>
        <w:rPr>
          <w:rFonts w:ascii="Inter" w:hAnsi="Inter"/>
          <w:b/>
          <w:i w:val="0"/>
          <w:color w:val="010860"/>
          <w:sz w:val="20"/>
        </w:rPr>
        <w:t>SELIC</w:t>
      </w:r>
      <w:r>
        <w:rPr>
          <w:rFonts w:ascii="Inter" w:hAnsi="Inter"/>
          <w:b w:val="0"/>
          <w:i w:val="0"/>
          <w:color w:val="141414"/>
          <w:sz w:val="20"/>
        </w:rPr>
        <w:t xml:space="preserve"> (juros + correção) mês a mês sobre um valor que já embute multa e juros — o efeito de "juros sobre juros" ao longo de anos. Sem desconto e sem crédito, o contribuinte desembolsa </w:t>
      </w:r>
      <w:r>
        <w:rPr>
          <w:rFonts w:ascii="Inter" w:hAnsi="Inter"/>
          <w:b/>
          <w:i w:val="0"/>
          <w:color w:val="010860"/>
          <w:sz w:val="20"/>
        </w:rPr>
        <w:t>caixa cheio corrigido</w:t>
      </w:r>
      <w:r>
        <w:rPr>
          <w:rFonts w:ascii="Inter" w:hAnsi="Inter"/>
          <w:b w:val="0"/>
          <w:i w:val="0"/>
          <w:color w:val="141414"/>
          <w:sz w:val="20"/>
        </w:rPr>
        <w:t xml:space="preserve">. A transação ataca justamente os acessórios (multa/juros/encargos) e permite </w:t>
      </w:r>
      <w:r>
        <w:rPr>
          <w:rFonts w:ascii="Inter" w:hAnsi="Inter"/>
          <w:b/>
          <w:i w:val="0"/>
          <w:color w:val="010860"/>
          <w:sz w:val="20"/>
        </w:rPr>
        <w:t>trocar caixa por crédito acumulado</w:t>
      </w:r>
      <w:r>
        <w:rPr>
          <w:rFonts w:ascii="Inter" w:hAnsi="Inter"/>
          <w:b w:val="0"/>
          <w:i w:val="0"/>
          <w:color w:val="141414"/>
          <w:sz w:val="20"/>
        </w:rPr>
        <w:t xml:space="preserve"> (PF/BCN), preservando liquidez.</w:t>
      </w:r>
    </w:p>
    <w:p>
      <w:pPr>
        <w:pStyle w:val="Heading1"/>
      </w:pPr>
      <w:r>
        <w:t>PARTE 2 — BASE LEGAL (VERIFICADA)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5. Qual é o marco legal da transação federal?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Lei nº 13.988/2020</w:t>
      </w:r>
      <w:r>
        <w:rPr>
          <w:rFonts w:ascii="Inter" w:hAnsi="Inter"/>
          <w:b w:val="0"/>
          <w:i w:val="0"/>
          <w:color w:val="141414"/>
          <w:sz w:val="20"/>
        </w:rPr>
        <w:t xml:space="preserve"> (Lei Geral da Transação), fruto da conversão da MP 899/2019 ("MP do Contribuinte Legal"). Ela autoriza a União/PGFN a transacionar créditos inscritos em Dívida Ativa.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6. O que diz o art. 11 da Lei nº 13.988/2020 (a base do uso de créditos)?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art. 11</w:t>
      </w:r>
      <w:r>
        <w:rPr>
          <w:rFonts w:ascii="Inter" w:hAnsi="Inter"/>
          <w:b w:val="0"/>
          <w:i w:val="0"/>
          <w:color w:val="141414"/>
          <w:sz w:val="20"/>
        </w:rPr>
        <w:t xml:space="preserve"> define o conteúdo possível da transação: </w:t>
      </w:r>
      <w:r>
        <w:rPr>
          <w:rFonts w:ascii="Inter" w:hAnsi="Inter"/>
          <w:b/>
          <w:i w:val="0"/>
          <w:color w:val="010860"/>
          <w:sz w:val="20"/>
        </w:rPr>
        <w:t>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sobre multas, juros e encargos legais de créditos classificados como </w:t>
      </w:r>
      <w:r>
        <w:rPr>
          <w:rFonts w:ascii="Inter" w:hAnsi="Inter"/>
          <w:b/>
          <w:i w:val="0"/>
          <w:color w:val="010860"/>
          <w:sz w:val="20"/>
        </w:rPr>
        <w:t>irrecuperáveis ou de difícil 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; </w:t>
      </w:r>
      <w:r>
        <w:rPr>
          <w:rFonts w:ascii="Inter" w:hAnsi="Inter"/>
          <w:b/>
          <w:i w:val="0"/>
          <w:color w:val="010860"/>
          <w:sz w:val="20"/>
        </w:rPr>
        <w:t>prazos e formas de pagamento especiais</w:t>
      </w:r>
      <w:r>
        <w:rPr>
          <w:rFonts w:ascii="Inter" w:hAnsi="Inter"/>
          <w:b w:val="0"/>
          <w:i w:val="0"/>
          <w:color w:val="141414"/>
          <w:sz w:val="20"/>
        </w:rPr>
        <w:t xml:space="preserve"> (moratória, diferimento); e </w:t>
      </w:r>
      <w:r>
        <w:rPr>
          <w:rFonts w:ascii="Inter" w:hAnsi="Inter"/>
          <w:b/>
          <w:i w:val="0"/>
          <w:color w:val="010860"/>
          <w:sz w:val="20"/>
        </w:rPr>
        <w:t>oferta/substituição de garantias</w:t>
      </w:r>
      <w:r>
        <w:rPr>
          <w:rFonts w:ascii="Inter" w:hAnsi="Inter"/>
          <w:b w:val="0"/>
          <w:i w:val="0"/>
          <w:color w:val="141414"/>
          <w:sz w:val="20"/>
        </w:rPr>
        <w:t xml:space="preserve">. Após a Lei 14.375/2022, o </w:t>
      </w:r>
      <w:r>
        <w:rPr>
          <w:rFonts w:ascii="Inter" w:hAnsi="Inter"/>
          <w:b/>
          <w:i w:val="0"/>
          <w:color w:val="010860"/>
          <w:sz w:val="20"/>
        </w:rPr>
        <w:t>art. 11, §7º</w:t>
      </w:r>
      <w:r>
        <w:rPr>
          <w:rFonts w:ascii="Inter" w:hAnsi="Inter"/>
          <w:b w:val="0"/>
          <w:i w:val="0"/>
          <w:color w:val="141414"/>
          <w:sz w:val="20"/>
        </w:rPr>
        <w:t xml:space="preserve"> passou a </w:t>
      </w:r>
      <w:r>
        <w:rPr>
          <w:rFonts w:ascii="Inter" w:hAnsi="Inter"/>
          <w:b/>
          <w:i w:val="0"/>
          <w:color w:val="010860"/>
          <w:sz w:val="20"/>
        </w:rPr>
        <w:t>autorizar o uso de créditos de Prejuízo Fiscal e Base de Cálculo Negativa da CSLL</w:t>
      </w:r>
      <w:r>
        <w:rPr>
          <w:rFonts w:ascii="Inter" w:hAnsi="Inter"/>
          <w:b w:val="0"/>
          <w:i w:val="0"/>
          <w:color w:val="141414"/>
          <w:sz w:val="20"/>
        </w:rPr>
        <w:t xml:space="preserve"> — próprios do devedor/corresponsável ou de </w:t>
      </w:r>
      <w:r>
        <w:rPr>
          <w:rFonts w:ascii="Inter" w:hAnsi="Inter"/>
          <w:b/>
          <w:i w:val="0"/>
          <w:color w:val="010860"/>
          <w:sz w:val="20"/>
        </w:rPr>
        <w:t>controladora, controlada ou empresas controladas pela mesma pessoa jurídica</w:t>
      </w:r>
      <w:r>
        <w:rPr>
          <w:rFonts w:ascii="Inter" w:hAnsi="Inter"/>
          <w:b w:val="0"/>
          <w:i w:val="0"/>
          <w:color w:val="141414"/>
          <w:sz w:val="20"/>
        </w:rPr>
        <w:t xml:space="preserve"> — para quitar o saldo.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7. O que a Lei nº 14.375/2022 mudou (limites verificados)?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>Ampliou substancialmente a transação: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Desconto máximo:</w:t>
      </w:r>
      <w:r>
        <w:rPr>
          <w:rFonts w:ascii="Inter" w:hAnsi="Inter"/>
          <w:b w:val="0"/>
          <w:i w:val="0"/>
          <w:color w:val="141414"/>
          <w:sz w:val="19"/>
        </w:rPr>
        <w:t xml:space="preserve"> subiu de 50% para </w:t>
      </w:r>
      <w:r>
        <w:rPr>
          <w:rFonts w:ascii="Inter" w:hAnsi="Inter"/>
          <w:b/>
          <w:i w:val="0"/>
          <w:color w:val="010860"/>
          <w:sz w:val="19"/>
        </w:rPr>
        <w:t>até 65%</w:t>
      </w:r>
      <w:r>
        <w:rPr>
          <w:rFonts w:ascii="Inter" w:hAnsi="Inter"/>
          <w:b w:val="0"/>
          <w:i w:val="0"/>
          <w:color w:val="141414"/>
          <w:sz w:val="19"/>
        </w:rPr>
        <w:t xml:space="preserve"> sobre o </w:t>
      </w:r>
      <w:r>
        <w:rPr>
          <w:rFonts w:ascii="Inter" w:hAnsi="Inter"/>
          <w:b/>
          <w:i w:val="0"/>
          <w:color w:val="010860"/>
          <w:sz w:val="19"/>
        </w:rPr>
        <w:t>valor total dos créditos transacionados</w:t>
      </w:r>
      <w:r>
        <w:rPr>
          <w:rFonts w:ascii="Inter" w:hAnsi="Inter"/>
          <w:b w:val="0"/>
          <w:i w:val="0"/>
          <w:color w:val="141414"/>
          <w:sz w:val="19"/>
        </w:rPr>
        <w:t xml:space="preserve"> (regra geral). Para categorias especiais — pessoa natural, ME, EPP, Santas Casas, instituições de ensino, cooperativas e demais organizações da sociedade civil — o teto vai a </w:t>
      </w:r>
      <w:r>
        <w:rPr>
          <w:rFonts w:ascii="Inter" w:hAnsi="Inter"/>
          <w:b/>
          <w:i w:val="0"/>
          <w:color w:val="010860"/>
          <w:sz w:val="19"/>
        </w:rPr>
        <w:t>até 70%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Prazo máximo:</w:t>
      </w:r>
      <w:r>
        <w:rPr>
          <w:rFonts w:ascii="Inter" w:hAnsi="Inter"/>
          <w:b w:val="0"/>
          <w:i w:val="0"/>
          <w:color w:val="141414"/>
          <w:sz w:val="19"/>
        </w:rPr>
        <w:t xml:space="preserve"> </w:t>
      </w:r>
      <w:r>
        <w:rPr>
          <w:rFonts w:ascii="Inter" w:hAnsi="Inter"/>
          <w:b/>
          <w:i w:val="0"/>
          <w:color w:val="010860"/>
          <w:sz w:val="19"/>
        </w:rPr>
        <w:t>até 120 meses</w:t>
      </w:r>
      <w:r>
        <w:rPr>
          <w:rFonts w:ascii="Inter" w:hAnsi="Inter"/>
          <w:b w:val="0"/>
          <w:i w:val="0"/>
          <w:color w:val="141414"/>
          <w:sz w:val="19"/>
        </w:rPr>
        <w:t xml:space="preserve"> (regra geral); e </w:t>
      </w:r>
      <w:r>
        <w:rPr>
          <w:rFonts w:ascii="Inter" w:hAnsi="Inter"/>
          <w:b/>
          <w:i w:val="0"/>
          <w:color w:val="010860"/>
          <w:sz w:val="19"/>
        </w:rPr>
        <w:t>até 145 meses</w:t>
      </w:r>
      <w:r>
        <w:rPr>
          <w:rFonts w:ascii="Inter" w:hAnsi="Inter"/>
          <w:b w:val="0"/>
          <w:i w:val="0"/>
          <w:color w:val="141414"/>
          <w:sz w:val="19"/>
        </w:rPr>
        <w:t xml:space="preserve"> para as categorias especiais acima.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Uso de PF/BCN:</w:t>
      </w:r>
      <w:r>
        <w:rPr>
          <w:rFonts w:ascii="Inter" w:hAnsi="Inter"/>
          <w:b w:val="0"/>
          <w:i w:val="0"/>
          <w:color w:val="141414"/>
          <w:sz w:val="19"/>
        </w:rPr>
        <w:t xml:space="preserve"> autorizado para amortizar o saldo.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Honorários:</w:t>
      </w:r>
      <w:r>
        <w:rPr>
          <w:rFonts w:ascii="Inter" w:hAnsi="Inter"/>
          <w:b w:val="0"/>
          <w:i w:val="0"/>
          <w:color w:val="141414"/>
          <w:sz w:val="19"/>
        </w:rPr>
        <w:t xml:space="preserve"> afastou a cobrança de honorários de sucumbência na transação.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Atenção de venda: o "até 65%" é um </w:t>
            </w:r>
            <w:r>
              <w:rPr>
                <w:rFonts w:ascii="Inter" w:hAnsi="Inter"/>
                <w:b/>
                <w:color w:val="010860"/>
                <w:sz w:val="19"/>
              </w:rPr>
              <w:t>teto legal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, não uma promessa. O desconto </w:t>
            </w:r>
            <w:r>
              <w:rPr>
                <w:rFonts w:ascii="Inter" w:hAnsi="Inter"/>
                <w:b/>
                <w:color w:val="010860"/>
                <w:sz w:val="19"/>
              </w:rPr>
              <w:t>efetivo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depende da CAPAG e da classificação do crédito. Trate como </w:t>
            </w:r>
            <w:r>
              <w:rPr>
                <w:rFonts w:ascii="Inter" w:hAnsi="Inter"/>
                <w:b/>
                <w:color w:val="010860"/>
                <w:sz w:val="19"/>
              </w:rPr>
              <w:t>(PARÂMETRO A VALIDAR)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no caso concreto.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8. E a Portaria PGFN nº 6.757/2022 — para que serve?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É a norma que </w:t>
      </w:r>
      <w:r>
        <w:rPr>
          <w:rFonts w:ascii="Inter" w:hAnsi="Inter"/>
          <w:b/>
          <w:i w:val="0"/>
          <w:color w:val="010860"/>
          <w:sz w:val="20"/>
        </w:rPr>
        <w:t>disciplina operacionalmente</w:t>
      </w:r>
      <w:r>
        <w:rPr>
          <w:rFonts w:ascii="Inter" w:hAnsi="Inter"/>
          <w:b w:val="0"/>
          <w:i w:val="0"/>
          <w:color w:val="141414"/>
          <w:sz w:val="20"/>
        </w:rPr>
        <w:t xml:space="preserve"> a transação na cobrança da Dívida Ativa da União (regulamenta a 13.988/2020 já com as mudanças da 14.375/2022). Define os critérios de </w:t>
      </w:r>
      <w:r>
        <w:rPr>
          <w:rFonts w:ascii="Inter" w:hAnsi="Inter"/>
          <w:b/>
          <w:i w:val="0"/>
          <w:color w:val="010860"/>
          <w:sz w:val="20"/>
        </w:rPr>
        <w:t>grau de recuperabilidade</w:t>
      </w:r>
      <w:r>
        <w:rPr>
          <w:rFonts w:ascii="Inter" w:hAnsi="Inter"/>
          <w:b w:val="0"/>
          <w:i w:val="0"/>
          <w:color w:val="141414"/>
          <w:sz w:val="20"/>
        </w:rPr>
        <w:t xml:space="preserve"> dos créditos, a metodologia da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, os </w:t>
      </w:r>
      <w:r>
        <w:rPr>
          <w:rFonts w:ascii="Inter" w:hAnsi="Inter"/>
          <w:b/>
          <w:i w:val="0"/>
          <w:color w:val="010860"/>
          <w:sz w:val="20"/>
        </w:rPr>
        <w:t>parâmetros de aceitação</w:t>
      </w:r>
      <w:r>
        <w:rPr>
          <w:rFonts w:ascii="Inter" w:hAnsi="Inter"/>
          <w:b w:val="0"/>
          <w:i w:val="0"/>
          <w:color w:val="141414"/>
          <w:sz w:val="20"/>
        </w:rPr>
        <w:t xml:space="preserve"> da transação individual e os </w:t>
      </w:r>
      <w:r>
        <w:rPr>
          <w:rFonts w:ascii="Inter" w:hAnsi="Inter"/>
          <w:b/>
          <w:i w:val="0"/>
          <w:color w:val="010860"/>
          <w:sz w:val="20"/>
        </w:rPr>
        <w:t>procedimentos</w:t>
      </w:r>
      <w:r>
        <w:rPr>
          <w:rFonts w:ascii="Inter" w:hAnsi="Inter"/>
          <w:b w:val="0"/>
          <w:i w:val="0"/>
          <w:color w:val="141414"/>
          <w:sz w:val="20"/>
        </w:rPr>
        <w:t xml:space="preserve"> no portal Regularize.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9. Quais são as modalidades de transação e seus limites de valor (verificados)?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 adesão (edital):</w:t>
      </w:r>
      <w:r>
        <w:rPr>
          <w:rFonts w:ascii="Inter" w:hAnsi="Inter"/>
          <w:b w:val="0"/>
          <w:i w:val="0"/>
          <w:color w:val="141414"/>
          <w:sz w:val="19"/>
        </w:rPr>
        <w:t xml:space="preserve"> o contribuinte adere a condições pré-fixadas em edital publicado pela PGFN. Menos flexível, sem negociação caso a caso.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proposta pelo devedor:</w:t>
      </w:r>
      <w:r>
        <w:rPr>
          <w:rFonts w:ascii="Inter" w:hAnsi="Inter"/>
          <w:b w:val="0"/>
          <w:i w:val="0"/>
          <w:color w:val="141414"/>
          <w:sz w:val="19"/>
        </w:rPr>
        <w:t xml:space="preserve"> para débitos inscritos com </w:t>
      </w:r>
      <w:r>
        <w:rPr>
          <w:rFonts w:ascii="Inter" w:hAnsi="Inter"/>
          <w:b/>
          <w:i w:val="0"/>
          <w:color w:val="010860"/>
          <w:sz w:val="19"/>
        </w:rPr>
        <w:t>valor consolidado acima de R$ 10 milhões</w:t>
      </w:r>
      <w:r>
        <w:rPr>
          <w:rFonts w:ascii="Inter" w:hAnsi="Inter"/>
          <w:b w:val="0"/>
          <w:i w:val="0"/>
          <w:color w:val="141414"/>
          <w:sz w:val="19"/>
        </w:rPr>
        <w:t xml:space="preserve"> (limite reduzido de R$ 15 mi para R$ 10 mi pela Portaria 6.757/2022). Se os débitos estiverem </w:t>
      </w:r>
      <w:r>
        <w:rPr>
          <w:rFonts w:ascii="Inter" w:hAnsi="Inter"/>
          <w:b/>
          <w:i w:val="0"/>
          <w:color w:val="010860"/>
          <w:sz w:val="19"/>
        </w:rPr>
        <w:t>suspensos por decisão judicial ou garantidos por penhora</w:t>
      </w:r>
      <w:r>
        <w:rPr>
          <w:rFonts w:ascii="Inter" w:hAnsi="Inter"/>
          <w:b w:val="0"/>
          <w:i w:val="0"/>
          <w:color w:val="141414"/>
          <w:sz w:val="19"/>
        </w:rPr>
        <w:t xml:space="preserve">, o piso cai para </w:t>
      </w:r>
      <w:r>
        <w:rPr>
          <w:rFonts w:ascii="Inter" w:hAnsi="Inter"/>
          <w:b/>
          <w:i w:val="0"/>
          <w:color w:val="010860"/>
          <w:sz w:val="19"/>
        </w:rPr>
        <w:t>R$ 1 milhão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simplificada:</w:t>
      </w:r>
      <w:r>
        <w:rPr>
          <w:rFonts w:ascii="Inter" w:hAnsi="Inter"/>
          <w:b w:val="0"/>
          <w:i w:val="0"/>
          <w:color w:val="141414"/>
          <w:sz w:val="19"/>
        </w:rPr>
        <w:t xml:space="preserve"> para valor consolidado </w:t>
      </w:r>
      <w:r>
        <w:rPr>
          <w:rFonts w:ascii="Inter" w:hAnsi="Inter"/>
          <w:b/>
          <w:i w:val="0"/>
          <w:color w:val="010860"/>
          <w:sz w:val="19"/>
        </w:rPr>
        <w:t>entre R$ 1 milhão e R$ 10 milhões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Individual proposta pela PGFN:</w:t>
      </w:r>
      <w:r>
        <w:rPr>
          <w:rFonts w:ascii="Inter" w:hAnsi="Inter"/>
          <w:b w:val="0"/>
          <w:i w:val="0"/>
          <w:color w:val="141414"/>
          <w:sz w:val="19"/>
        </w:rPr>
        <w:t xml:space="preserve"> a própria Procuradoria pode oferecer a transação.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Atenção — parâmetro a validar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 w:val="0"/>
                <w:color w:val="3A2E14"/>
                <w:sz w:val="19"/>
              </w:rPr>
              <w:t xml:space="preserve">Esses pisos </w:t>
            </w:r>
            <w:r>
              <w:rPr>
                <w:rFonts w:ascii="Inter" w:hAnsi="Inter"/>
                <w:b/>
                <w:color w:val="010860"/>
                <w:sz w:val="19"/>
              </w:rPr>
              <w:t>mudam ao longo do tempo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por portaria. Antes de qualificar um lead, </w:t>
            </w:r>
            <w:r>
              <w:rPr>
                <w:rFonts w:ascii="Inter" w:hAnsi="Inter"/>
                <w:b/>
                <w:color w:val="010860"/>
                <w:sz w:val="19"/>
              </w:rPr>
              <w:t>VALIDAR o limite vigente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— faixas de valor podem sofrer atualização (</w:t>
            </w:r>
            <w:r>
              <w:rPr>
                <w:rFonts w:ascii="Inter" w:hAnsi="Inter"/>
                <w:b/>
                <w:color w:val="010860"/>
                <w:sz w:val="19"/>
              </w:rPr>
              <w:t>PARÂMETRO A VALIDAR</w:t>
            </w:r>
            <w:r>
              <w:rPr>
                <w:rFonts w:ascii="Inter" w:hAnsi="Inter"/>
                <w:b w:val="0"/>
                <w:color w:val="3A2E14"/>
                <w:sz w:val="19"/>
              </w:rPr>
              <w:t xml:space="preserve"> na data da negociação).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10. Os fundamentos no CTN são reais?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Sim. </w:t>
      </w:r>
      <w:r>
        <w:rPr>
          <w:rFonts w:ascii="Inter" w:hAnsi="Inter"/>
          <w:b/>
          <w:i w:val="0"/>
          <w:color w:val="010860"/>
          <w:sz w:val="20"/>
        </w:rPr>
        <w:t>CTN, art. 156, III</w:t>
      </w:r>
      <w:r>
        <w:rPr>
          <w:rFonts w:ascii="Inter" w:hAnsi="Inter"/>
          <w:b w:val="0"/>
          <w:i w:val="0"/>
          <w:color w:val="141414"/>
          <w:sz w:val="20"/>
        </w:rPr>
        <w:t xml:space="preserve"> lista a </w:t>
      </w:r>
      <w:r>
        <w:rPr>
          <w:rFonts w:ascii="Inter" w:hAnsi="Inter"/>
          <w:b/>
          <w:i w:val="0"/>
          <w:color w:val="010860"/>
          <w:sz w:val="20"/>
        </w:rPr>
        <w:t>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entre as modalidades de </w:t>
      </w:r>
      <w:r>
        <w:rPr>
          <w:rFonts w:ascii="Inter" w:hAnsi="Inter"/>
          <w:b/>
          <w:i w:val="0"/>
          <w:color w:val="010860"/>
          <w:sz w:val="20"/>
        </w:rPr>
        <w:t>extinção do crédito tributário</w:t>
      </w:r>
      <w:r>
        <w:rPr>
          <w:rFonts w:ascii="Inter" w:hAnsi="Inter"/>
          <w:b w:val="0"/>
          <w:i w:val="0"/>
          <w:color w:val="141414"/>
          <w:sz w:val="20"/>
        </w:rPr>
        <w:t xml:space="preserve">; </w:t>
      </w:r>
      <w:r>
        <w:rPr>
          <w:rFonts w:ascii="Inter" w:hAnsi="Inter"/>
          <w:b/>
          <w:i w:val="0"/>
          <w:color w:val="010860"/>
          <w:sz w:val="20"/>
        </w:rPr>
        <w:t>CTN, art. 171</w:t>
      </w:r>
      <w:r>
        <w:rPr>
          <w:rFonts w:ascii="Inter" w:hAnsi="Inter"/>
          <w:b w:val="0"/>
          <w:i w:val="0"/>
          <w:color w:val="141414"/>
          <w:sz w:val="20"/>
        </w:rPr>
        <w:t xml:space="preserve"> é a norma que </w:t>
      </w:r>
      <w:r>
        <w:rPr>
          <w:rFonts w:ascii="Inter" w:hAnsi="Inter"/>
          <w:b/>
          <w:i w:val="0"/>
          <w:color w:val="010860"/>
          <w:sz w:val="20"/>
        </w:rPr>
        <w:t>faculta a transação</w:t>
      </w:r>
      <w:r>
        <w:rPr>
          <w:rFonts w:ascii="Inter" w:hAnsi="Inter"/>
          <w:b w:val="0"/>
          <w:i w:val="0"/>
          <w:color w:val="141414"/>
          <w:sz w:val="20"/>
        </w:rPr>
        <w:t xml:space="preserve"> mediante concessões mútuas para terminar litígio e extinguir o crédito. A Lei 13.988/2020 e a Portaria 6.757/2022 são a densificação desse permissivo no plano federal.</w:t>
      </w:r>
    </w:p>
    <w:p>
      <w:pPr>
        <w:pStyle w:val="Heading1"/>
      </w:pPr>
      <w:r>
        <w:t>PARTE 3 — CAPAG (CAPACIDADE DE PAGAMENTO)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11. O que é a CAPAG e por que ela é o coração da negociação?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CAPAG = </w:t>
      </w:r>
      <w:r>
        <w:rPr>
          <w:rFonts w:ascii="Inter" w:hAnsi="Inter"/>
          <w:b/>
          <w:i w:val="0"/>
          <w:color w:val="010860"/>
          <w:sz w:val="20"/>
        </w:rPr>
        <w:t>Capacidade de Pagamento</w:t>
      </w:r>
      <w:r>
        <w:rPr>
          <w:rFonts w:ascii="Inter" w:hAnsi="Inter"/>
          <w:b w:val="0"/>
          <w:i w:val="0"/>
          <w:color w:val="141414"/>
          <w:sz w:val="20"/>
        </w:rPr>
        <w:t xml:space="preserve">. É a </w:t>
      </w:r>
      <w:r>
        <w:rPr>
          <w:rFonts w:ascii="Inter" w:hAnsi="Inter"/>
          <w:b/>
          <w:i w:val="0"/>
          <w:color w:val="010860"/>
          <w:sz w:val="20"/>
        </w:rPr>
        <w:t>estimativa que a PGFN faz de quanto o contribuinte consegue pagar da sua dívida em até 5 anos</w:t>
      </w:r>
      <w:r>
        <w:rPr>
          <w:rFonts w:ascii="Inter" w:hAnsi="Inter"/>
          <w:b w:val="0"/>
          <w:i w:val="0"/>
          <w:color w:val="141414"/>
          <w:sz w:val="20"/>
        </w:rPr>
        <w:t xml:space="preserve">. Ela determina </w:t>
      </w:r>
      <w:r>
        <w:rPr>
          <w:rFonts w:ascii="Inter" w:hAnsi="Inter"/>
          <w:b/>
          <w:i w:val="0"/>
          <w:color w:val="010860"/>
          <w:sz w:val="20"/>
        </w:rPr>
        <w:t>se há direito a desconto e qual é o teto desse desconto</w:t>
      </w:r>
      <w:r>
        <w:rPr>
          <w:rFonts w:ascii="Inter" w:hAnsi="Inter"/>
          <w:b w:val="0"/>
          <w:i w:val="0"/>
          <w:color w:val="141414"/>
          <w:sz w:val="20"/>
        </w:rPr>
        <w:t xml:space="preserve">. Quanto </w:t>
      </w:r>
      <w:r>
        <w:rPr>
          <w:rFonts w:ascii="Inter" w:hAnsi="Inter"/>
          <w:b/>
          <w:i w:val="0"/>
          <w:color w:val="010860"/>
          <w:sz w:val="20"/>
        </w:rPr>
        <w:t>menor</w:t>
      </w:r>
      <w:r>
        <w:rPr>
          <w:rFonts w:ascii="Inter" w:hAnsi="Inter"/>
          <w:b w:val="0"/>
          <w:i w:val="0"/>
          <w:color w:val="141414"/>
          <w:sz w:val="20"/>
        </w:rPr>
        <w:t xml:space="preserve"> a capacidade estimada, </w:t>
      </w:r>
      <w:r>
        <w:rPr>
          <w:rFonts w:ascii="Inter" w:hAnsi="Inter"/>
          <w:b/>
          <w:i w:val="0"/>
          <w:color w:val="010860"/>
          <w:sz w:val="20"/>
        </w:rPr>
        <w:t>mais irrecuperável</w:t>
      </w:r>
      <w:r>
        <w:rPr>
          <w:rFonts w:ascii="Inter" w:hAnsi="Inter"/>
          <w:b w:val="0"/>
          <w:i w:val="0"/>
          <w:color w:val="141414"/>
          <w:sz w:val="20"/>
        </w:rPr>
        <w:t xml:space="preserve"> o crédito é considerado — e maior o desconto possível. É por isso que a CAPAG é a variável mais importante da operação.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12. Qual a diferença entre CAPAG presumida (CAPAG-P) e CAPAG efetiva (CAPAG-E) — e por que "re-valorar o rating" importa?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</w:t>
      </w:r>
      <w:r>
        <w:rPr>
          <w:rFonts w:ascii="Inter" w:hAnsi="Inter"/>
          <w:b/>
          <w:i w:val="0"/>
          <w:color w:val="010860"/>
          <w:sz w:val="20"/>
        </w:rPr>
        <w:t>CAPAG-P (presumida)</w:t>
      </w:r>
      <w:r>
        <w:rPr>
          <w:rFonts w:ascii="Inter" w:hAnsi="Inter"/>
          <w:b w:val="0"/>
          <w:i w:val="0"/>
          <w:color w:val="141414"/>
          <w:sz w:val="20"/>
        </w:rPr>
        <w:t xml:space="preserve"> é calculada </w:t>
      </w:r>
      <w:r>
        <w:rPr>
          <w:rFonts w:ascii="Inter" w:hAnsi="Inter"/>
          <w:b/>
          <w:i w:val="0"/>
          <w:color w:val="010860"/>
          <w:sz w:val="20"/>
        </w:rPr>
        <w:t>automaticamente</w:t>
      </w:r>
      <w:r>
        <w:rPr>
          <w:rFonts w:ascii="Inter" w:hAnsi="Inter"/>
          <w:b w:val="0"/>
          <w:i w:val="0"/>
          <w:color w:val="141414"/>
          <w:sz w:val="20"/>
        </w:rPr>
        <w:t xml:space="preserve"> pela PGFN só com os dados que o Fisco já tem — e tende a </w:t>
      </w:r>
      <w:r>
        <w:rPr>
          <w:rFonts w:ascii="Inter" w:hAnsi="Inter"/>
          <w:b/>
          <w:i w:val="0"/>
          <w:color w:val="010860"/>
          <w:sz w:val="20"/>
        </w:rPr>
        <w:t>superestimar</w:t>
      </w:r>
      <w:r>
        <w:rPr>
          <w:rFonts w:ascii="Inter" w:hAnsi="Inter"/>
          <w:b w:val="0"/>
          <w:i w:val="0"/>
          <w:color w:val="141414"/>
          <w:sz w:val="20"/>
        </w:rPr>
        <w:t xml:space="preserve"> a capacidade (aponta menos desconto do que o real). A </w:t>
      </w:r>
      <w:r>
        <w:rPr>
          <w:rFonts w:ascii="Inter" w:hAnsi="Inter"/>
          <w:b/>
          <w:i w:val="0"/>
          <w:color w:val="010860"/>
          <w:sz w:val="20"/>
        </w:rPr>
        <w:t>CAPAG-E (efetiva)</w:t>
      </w:r>
      <w:r>
        <w:rPr>
          <w:rFonts w:ascii="Inter" w:hAnsi="Inter"/>
          <w:b w:val="0"/>
          <w:i w:val="0"/>
          <w:color w:val="141414"/>
          <w:sz w:val="20"/>
        </w:rPr>
        <w:t xml:space="preserve"> é </w:t>
      </w:r>
      <w:r>
        <w:rPr>
          <w:rFonts w:ascii="Inter" w:hAnsi="Inter"/>
          <w:b/>
          <w:i w:val="0"/>
          <w:color w:val="010860"/>
          <w:sz w:val="20"/>
        </w:rPr>
        <w:t>recalculada</w:t>
      </w:r>
      <w:r>
        <w:rPr>
          <w:rFonts w:ascii="Inter" w:hAnsi="Inter"/>
          <w:b w:val="0"/>
          <w:i w:val="0"/>
          <w:color w:val="141414"/>
          <w:sz w:val="20"/>
        </w:rPr>
        <w:t xml:space="preserve"> pela PGFN depois que o contribuinte apresenta a </w:t>
      </w:r>
      <w:r>
        <w:rPr>
          <w:rFonts w:ascii="Inter" w:hAnsi="Inter"/>
          <w:b/>
          <w:i w:val="0"/>
          <w:color w:val="010860"/>
          <w:sz w:val="20"/>
        </w:rPr>
        <w:t>realidade financeira</w:t>
      </w:r>
      <w:r>
        <w:rPr>
          <w:rFonts w:ascii="Inter" w:hAnsi="Inter"/>
          <w:b w:val="0"/>
          <w:i w:val="0"/>
          <w:color w:val="141414"/>
          <w:sz w:val="20"/>
        </w:rPr>
        <w:t xml:space="preserve"> (balanço, DRE, extratos, passivos, contingências) em um </w:t>
      </w:r>
      <w:r>
        <w:rPr>
          <w:rFonts w:ascii="Inter" w:hAnsi="Inter"/>
          <w:b/>
          <w:i w:val="0"/>
          <w:color w:val="010860"/>
          <w:sz w:val="20"/>
        </w:rPr>
        <w:t>Pedido de Revisão de CAPAG</w:t>
      </w:r>
      <w:r>
        <w:rPr>
          <w:rFonts w:ascii="Inter" w:hAnsi="Inter"/>
          <w:b w:val="0"/>
          <w:i w:val="0"/>
          <w:color w:val="141414"/>
          <w:sz w:val="20"/>
        </w:rPr>
        <w:t xml:space="preserve">. Aqui está o núcleo do nosso valor: </w:t>
      </w:r>
      <w:r>
        <w:rPr>
          <w:rFonts w:ascii="Inter" w:hAnsi="Inter"/>
          <w:b/>
          <w:i w:val="0"/>
          <w:color w:val="010860"/>
          <w:sz w:val="20"/>
        </w:rPr>
        <w:t>re-valorar o rating</w:t>
      </w:r>
      <w:r>
        <w:rPr>
          <w:rFonts w:ascii="Inter" w:hAnsi="Inter"/>
          <w:b w:val="0"/>
          <w:i w:val="0"/>
          <w:color w:val="141414"/>
          <w:sz w:val="20"/>
        </w:rPr>
        <w:t xml:space="preserve"> significa demonstrar tecnicamente que a capacidade real é menor do que a presumida, </w:t>
      </w:r>
      <w:r>
        <w:rPr>
          <w:rFonts w:ascii="Inter" w:hAnsi="Inter"/>
          <w:b/>
          <w:i w:val="0"/>
          <w:color w:val="010860"/>
          <w:sz w:val="20"/>
        </w:rPr>
        <w:t>reclassificando o crédito</w:t>
      </w:r>
      <w:r>
        <w:rPr>
          <w:rFonts w:ascii="Inter" w:hAnsi="Inter"/>
          <w:b w:val="0"/>
          <w:i w:val="0"/>
          <w:color w:val="141414"/>
          <w:sz w:val="20"/>
        </w:rPr>
        <w:t xml:space="preserve"> para "difícil recuperação/irrecuperável" e </w:t>
      </w:r>
      <w:r>
        <w:rPr>
          <w:rFonts w:ascii="Inter" w:hAnsi="Inter"/>
          <w:b/>
          <w:i w:val="0"/>
          <w:color w:val="010860"/>
          <w:sz w:val="20"/>
        </w:rPr>
        <w:t>destravando descontos maiores</w:t>
      </w:r>
      <w:r>
        <w:rPr>
          <w:rFonts w:ascii="Inter" w:hAnsi="Inter"/>
          <w:b w:val="0"/>
          <w:i w:val="0"/>
          <w:color w:val="141414"/>
          <w:sz w:val="20"/>
        </w:rPr>
        <w:t>. É trabalho de engenharia financeira, não de sorte.</w:t>
      </w:r>
    </w:p>
    <w:p>
      <w:pPr>
        <w:pStyle w:val="Heading1"/>
      </w:pPr>
      <w:r>
        <w:t>PARTE 4 — FASES DA OPERAÇÃO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13. Quais são as fases da operação, passo a passo?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Diagnóstico e saneamento das CDAs:</w:t>
      </w:r>
      <w:r>
        <w:rPr>
          <w:rFonts w:ascii="Inter" w:hAnsi="Inter"/>
          <w:b w:val="0"/>
          <w:i w:val="0"/>
          <w:color w:val="141414"/>
          <w:sz w:val="19"/>
        </w:rPr>
        <w:t xml:space="preserve"> perícia das Certidões de Dívida Ativa em busca de </w:t>
      </w:r>
      <w:r>
        <w:rPr>
          <w:rFonts w:ascii="Inter" w:hAnsi="Inter"/>
          <w:b/>
          <w:i w:val="0"/>
          <w:color w:val="010860"/>
          <w:sz w:val="19"/>
        </w:rPr>
        <w:t>nulidades e valores indevidos</w:t>
      </w:r>
      <w:r>
        <w:rPr>
          <w:rFonts w:ascii="Inter" w:hAnsi="Inter"/>
          <w:b w:val="0"/>
          <w:i w:val="0"/>
          <w:color w:val="141414"/>
          <w:sz w:val="19"/>
        </w:rPr>
        <w:t xml:space="preserve"> (prescrição, decadência, vícios, encargos indevidos). Objetivo: </w:t>
      </w:r>
      <w:r>
        <w:rPr>
          <w:rFonts w:ascii="Inter" w:hAnsi="Inter"/>
          <w:b/>
          <w:i w:val="0"/>
          <w:color w:val="010860"/>
          <w:sz w:val="19"/>
        </w:rPr>
        <w:t>reduzir a base</w:t>
      </w:r>
      <w:r>
        <w:rPr>
          <w:rFonts w:ascii="Inter" w:hAnsi="Inter"/>
          <w:b w:val="0"/>
          <w:i w:val="0"/>
          <w:color w:val="141414"/>
          <w:sz w:val="19"/>
        </w:rPr>
        <w:t xml:space="preserve"> antes de negociar.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Revisão da CAPAG:</w:t>
      </w:r>
      <w:r>
        <w:rPr>
          <w:rFonts w:ascii="Inter" w:hAnsi="Inter"/>
          <w:b w:val="0"/>
          <w:i w:val="0"/>
          <w:color w:val="141414"/>
          <w:sz w:val="19"/>
        </w:rPr>
        <w:t xml:space="preserve"> montagem do dossiê econômico-financeiro e Pedido de Revisão para reclassificar o rating (CAPAG-P para CAPAG-E) e </w:t>
      </w:r>
      <w:r>
        <w:rPr>
          <w:rFonts w:ascii="Inter" w:hAnsi="Inter"/>
          <w:b/>
          <w:i w:val="0"/>
          <w:color w:val="010860"/>
          <w:sz w:val="19"/>
        </w:rPr>
        <w:t>elevar o teto de desconto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Negociação da Transação Individual</w:t>
      </w:r>
      <w:r>
        <w:rPr>
          <w:rFonts w:ascii="Inter" w:hAnsi="Inter"/>
          <w:b w:val="0"/>
          <w:i w:val="0"/>
          <w:color w:val="141414"/>
          <w:sz w:val="19"/>
        </w:rPr>
        <w:t xml:space="preserve"> com a PGFN: proposta, descontos sobre acessórios, prazo, condições e garantias.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Liquidação com créditos:</w:t>
      </w:r>
      <w:r>
        <w:rPr>
          <w:rFonts w:ascii="Inter" w:hAnsi="Inter"/>
          <w:b w:val="0"/>
          <w:i w:val="0"/>
          <w:color w:val="141414"/>
          <w:sz w:val="19"/>
        </w:rPr>
        <w:t xml:space="preserve"> amortização do saldo com </w:t>
      </w:r>
      <w:r>
        <w:rPr>
          <w:rFonts w:ascii="Inter" w:hAnsi="Inter"/>
          <w:b/>
          <w:i w:val="0"/>
          <w:color w:val="010860"/>
          <w:sz w:val="19"/>
        </w:rPr>
        <w:t>PF/BCN</w:t>
      </w:r>
      <w:r>
        <w:rPr>
          <w:rFonts w:ascii="Inter" w:hAnsi="Inter"/>
          <w:b w:val="0"/>
          <w:i w:val="0"/>
          <w:color w:val="141414"/>
          <w:sz w:val="19"/>
        </w:rPr>
        <w:t xml:space="preserve"> (próprios ou de controladas/coligadas) e/ou direitos creditórios federais admitidos</w:t>
      </w:r>
      <w:r>
        <w:rPr>
          <w:rFonts w:ascii="Inter" w:hAnsi="Inter"/>
          <w:b/>
          <w:i w:val="0"/>
          <w:color w:val="010860"/>
          <w:sz w:val="19"/>
        </w:rPr>
      </w:r>
      <w:r>
        <w:rPr>
          <w:rFonts w:ascii="Inter" w:hAnsi="Inter"/>
          <w:b w:val="0"/>
          <w:i w:val="0"/>
          <w:color w:val="141414"/>
          <w:sz w:val="19"/>
        </w:rPr>
        <w:t>, e parcelamento do resíduo em caixa.</w:t>
      </w:r>
    </w:p>
    <w:p>
      <w:pPr>
        <w:pStyle w:val="Heading1"/>
      </w:pPr>
      <w:r>
        <w:t>PARTE 5 — USO DE CRÉDITOS (PF, BCN E DIREITOS CREDITÓRIOS)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14. Quanto do saldo pode ser quitado com PF/BCN (limite verificado)?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Até </w:t>
      </w:r>
      <w:r>
        <w:rPr>
          <w:rFonts w:ascii="Inter" w:hAnsi="Inter"/>
          <w:b/>
          <w:i w:val="0"/>
          <w:color w:val="010860"/>
          <w:sz w:val="20"/>
        </w:rPr>
        <w:t>70% do saldo remanescente após a incidência dos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(art. 11, §7º, Lei 13.988/2020, redação da Lei 14.375/2022). Ou seja: primeiro aplicam-se os descontos sobre os acessórios; sobre o </w:t>
      </w:r>
      <w:r>
        <w:rPr>
          <w:rFonts w:ascii="Inter" w:hAnsi="Inter"/>
          <w:b/>
          <w:i w:val="0"/>
          <w:color w:val="010860"/>
          <w:sz w:val="20"/>
        </w:rPr>
        <w:t>saldo que sobra</w:t>
      </w:r>
      <w:r>
        <w:rPr>
          <w:rFonts w:ascii="Inter" w:hAnsi="Inter"/>
          <w:b w:val="0"/>
          <w:i w:val="0"/>
          <w:color w:val="141414"/>
          <w:sz w:val="20"/>
        </w:rPr>
        <w:t xml:space="preserve">, até 70% pode ser pago com crédito de PF/BCN; o restante vai a </w:t>
      </w:r>
      <w:r>
        <w:rPr>
          <w:rFonts w:ascii="Inter" w:hAnsi="Inter"/>
          <w:b/>
          <w:i w:val="0"/>
          <w:color w:val="010860"/>
          <w:sz w:val="20"/>
        </w:rPr>
        <w:t>caixa/parcelamento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15. Existe restrição de qual crédito da dívida pode receber PF/BCN?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Sim, e é importante para não gerar promessa falsa: a PGFN admite o uso de PF/BCN </w:t>
      </w:r>
      <w:r>
        <w:rPr>
          <w:rFonts w:ascii="Inter" w:hAnsi="Inter"/>
          <w:b/>
          <w:i w:val="0"/>
          <w:color w:val="010860"/>
          <w:sz w:val="20"/>
        </w:rPr>
        <w:t>apenas para deduzir juros, multas e encargos legais</w:t>
      </w:r>
      <w:r>
        <w:rPr>
          <w:rFonts w:ascii="Inter" w:hAnsi="Inter"/>
          <w:b w:val="0"/>
          <w:i w:val="0"/>
          <w:color w:val="141414"/>
          <w:sz w:val="20"/>
        </w:rPr>
        <w:t xml:space="preserve"> (não o principal) e </w:t>
      </w:r>
      <w:r>
        <w:rPr>
          <w:rFonts w:ascii="Inter" w:hAnsi="Inter"/>
          <w:b/>
          <w:i w:val="0"/>
          <w:color w:val="010860"/>
          <w:sz w:val="20"/>
        </w:rPr>
        <w:t>apenas em créditos classificados como irrecuperáveis ou de difícil recuperação</w:t>
      </w:r>
      <w:r>
        <w:rPr>
          <w:rFonts w:ascii="Inter" w:hAnsi="Inter"/>
          <w:b w:val="0"/>
          <w:i w:val="0"/>
          <w:color w:val="141414"/>
          <w:sz w:val="20"/>
        </w:rPr>
        <w:t xml:space="preserve">. PF/BCN é </w:t>
      </w:r>
      <w:r>
        <w:rPr>
          <w:rFonts w:ascii="Inter" w:hAnsi="Inter"/>
          <w:b/>
          <w:i w:val="0"/>
          <w:color w:val="010860"/>
          <w:sz w:val="20"/>
        </w:rPr>
        <w:t>meio de pagamento do saldo</w:t>
      </w:r>
      <w:r>
        <w:rPr>
          <w:rFonts w:ascii="Inter" w:hAnsi="Inter"/>
          <w:b w:val="0"/>
          <w:i w:val="0"/>
          <w:color w:val="141414"/>
          <w:sz w:val="20"/>
        </w:rPr>
        <w:t xml:space="preserve">, não um "abatimento do principal". Há decisão do TCU discutindo limites — tema em evolução, </w:t>
      </w:r>
      <w:r>
        <w:rPr>
          <w:rFonts w:ascii="Inter" w:hAnsi="Inter"/>
          <w:b/>
          <w:i w:val="0"/>
          <w:color w:val="010860"/>
          <w:sz w:val="20"/>
        </w:rPr>
        <w:t>acompanhar/VALIDAR</w:t>
      </w:r>
      <w:r>
        <w:rPr>
          <w:rFonts w:ascii="Inter" w:hAnsi="Inter"/>
          <w:b w:val="0"/>
          <w:i w:val="0"/>
          <w:color w:val="141414"/>
          <w:sz w:val="20"/>
        </w:rPr>
        <w:t>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16. Qual a diferença entre usar crédito próprio e crédito de controlada/coligada?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O </w:t>
      </w:r>
      <w:r>
        <w:rPr>
          <w:rFonts w:ascii="Inter" w:hAnsi="Inter"/>
          <w:b/>
          <w:i w:val="0"/>
          <w:color w:val="010860"/>
          <w:sz w:val="20"/>
        </w:rPr>
        <w:t>crédito próprio</w:t>
      </w:r>
      <w:r>
        <w:rPr>
          <w:rFonts w:ascii="Inter" w:hAnsi="Inter"/>
          <w:b w:val="0"/>
          <w:i w:val="0"/>
          <w:color w:val="141414"/>
          <w:sz w:val="20"/>
        </w:rPr>
        <w:t xml:space="preserve"> é o PF/BCN acumulado pela própria empresa devedora (declarado à RFB) — uso mais direto. O </w:t>
      </w:r>
      <w:r>
        <w:rPr>
          <w:rFonts w:ascii="Inter" w:hAnsi="Inter"/>
          <w:b/>
          <w:i w:val="0"/>
          <w:color w:val="010860"/>
          <w:sz w:val="20"/>
        </w:rPr>
        <w:t>crédito de controladora/controlada/empresas sob controle comum</w:t>
      </w:r>
      <w:r>
        <w:rPr>
          <w:rFonts w:ascii="Inter" w:hAnsi="Inter"/>
          <w:b w:val="0"/>
          <w:i w:val="0"/>
          <w:color w:val="141414"/>
          <w:sz w:val="20"/>
        </w:rPr>
        <w:t xml:space="preserve"> é permitido pela lei (art. 11, §7º): aproveita-se PF/BCN de controladora, controlada — direta ou indireta — ou de empresas controladas pela mesma pessoa jurídica, desde que </w:t>
      </w:r>
      <w:r>
        <w:rPr>
          <w:rFonts w:ascii="Inter" w:hAnsi="Inter"/>
          <w:b/>
          <w:i w:val="0"/>
          <w:color w:val="010860"/>
          <w:sz w:val="20"/>
        </w:rPr>
        <w:t>regularmente apurados e declarados à RFB</w:t>
      </w:r>
      <w:r>
        <w:rPr>
          <w:rFonts w:ascii="Inter" w:hAnsi="Inter"/>
          <w:b w:val="0"/>
          <w:i w:val="0"/>
          <w:color w:val="141414"/>
          <w:sz w:val="20"/>
        </w:rPr>
        <w:t xml:space="preserve">. Isso abre uso de crédito </w:t>
      </w:r>
      <w:r>
        <w:rPr>
          <w:rFonts w:ascii="Inter" w:hAnsi="Inter"/>
          <w:b/>
          <w:i w:val="0"/>
          <w:color w:val="010860"/>
          <w:sz w:val="20"/>
        </w:rPr>
        <w:t>dentro do grupo econômico</w:t>
      </w:r>
      <w:r>
        <w:rPr>
          <w:rFonts w:ascii="Inter" w:hAnsi="Inter"/>
          <w:b w:val="0"/>
          <w:i w:val="0"/>
          <w:color w:val="141414"/>
          <w:sz w:val="20"/>
        </w:rPr>
        <w:t xml:space="preserve">, mesmo entre empresas de atividades diferentes; exige </w:t>
      </w:r>
      <w:r>
        <w:rPr>
          <w:rFonts w:ascii="Inter" w:hAnsi="Inter"/>
          <w:b/>
          <w:i w:val="0"/>
          <w:color w:val="010860"/>
          <w:sz w:val="20"/>
        </w:rPr>
        <w:t>prova societária e fiscal</w:t>
      </w:r>
      <w:r>
        <w:rPr>
          <w:rFonts w:ascii="Inter" w:hAnsi="Inter"/>
          <w:b w:val="0"/>
          <w:i w:val="0"/>
          <w:color w:val="141414"/>
          <w:sz w:val="20"/>
        </w:rPr>
        <w:t xml:space="preserve"> do vínculo e da titularidade do crédito — é onde entra nossa estruturação.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17. E direitos creditórios federais — inclusive precatórios?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Direitos creditórios federais (próprios ou adquiridos — categoria que inclui os precatórios) podem ser usados como </w:t>
      </w:r>
      <w:r>
        <w:rPr>
          <w:rFonts w:ascii="Inter" w:hAnsi="Inter"/>
          <w:b/>
          <w:i w:val="0"/>
          <w:color w:val="010860"/>
          <w:sz w:val="20"/>
        </w:rPr>
        <w:t>meio de liquidação/garantia</w:t>
      </w:r>
      <w:r>
        <w:rPr>
          <w:rFonts w:ascii="Inter" w:hAnsi="Inter"/>
          <w:b w:val="0"/>
          <w:i w:val="0"/>
          <w:color w:val="141414"/>
          <w:sz w:val="20"/>
        </w:rPr>
        <w:t xml:space="preserve"> conforme a modalidade e a regulamentação vigente. Condições e percentuais variam — tratar como </w:t>
      </w:r>
      <w:r>
        <w:rPr>
          <w:rFonts w:ascii="Inter" w:hAnsi="Inter"/>
          <w:b/>
          <w:i w:val="0"/>
          <w:color w:val="010860"/>
          <w:sz w:val="20"/>
        </w:rPr>
        <w:t>(PARÂMETRO A VALIDAR)</w:t>
      </w:r>
      <w:r>
        <w:rPr>
          <w:rFonts w:ascii="Inter" w:hAnsi="Inter"/>
          <w:b w:val="0"/>
          <w:i w:val="0"/>
          <w:color w:val="141414"/>
          <w:sz w:val="20"/>
        </w:rPr>
        <w:t xml:space="preserve"> no desenho de cada caso.</w:t>
      </w:r>
    </w:p>
    <w:p>
      <w:pPr>
        <w:pStyle w:val="Heading1"/>
      </w:pPr>
      <w:r>
        <w:t>PARTE 6 — NULIDADES DAS CDAs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18. Que nulidades/vícios das CDAs podem reduzir a dívida antes de negociar?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perícia de saneamento busca, entre outros: </w:t>
      </w:r>
      <w:r>
        <w:rPr>
          <w:rFonts w:ascii="Inter" w:hAnsi="Inter"/>
          <w:b/>
          <w:i w:val="0"/>
          <w:color w:val="010860"/>
          <w:sz w:val="20"/>
        </w:rPr>
        <w:t>prescrição</w:t>
      </w:r>
      <w:r>
        <w:rPr>
          <w:rFonts w:ascii="Inter" w:hAnsi="Inter"/>
          <w:b w:val="0"/>
          <w:i w:val="0"/>
          <w:color w:val="141414"/>
          <w:sz w:val="20"/>
        </w:rPr>
        <w:t xml:space="preserve"> (perda do prazo — em regra 5 anos — para a Fazenda cobrar o crédito já constituído; o valor prescrito não é exigível); </w:t>
      </w:r>
      <w:r>
        <w:rPr>
          <w:rFonts w:ascii="Inter" w:hAnsi="Inter"/>
          <w:b/>
          <w:i w:val="0"/>
          <w:color w:val="010860"/>
          <w:sz w:val="20"/>
        </w:rPr>
        <w:t>decadência</w:t>
      </w:r>
      <w:r>
        <w:rPr>
          <w:rFonts w:ascii="Inter" w:hAnsi="Inter"/>
          <w:b w:val="0"/>
          <w:i w:val="0"/>
          <w:color w:val="141414"/>
          <w:sz w:val="20"/>
        </w:rPr>
        <w:t xml:space="preserve"> (perda do prazo — em regra 5 anos — para o Fisco constituir o crédito; lançamento fora do prazo é nulo); </w:t>
      </w:r>
      <w:r>
        <w:rPr>
          <w:rFonts w:ascii="Inter" w:hAnsi="Inter"/>
          <w:b/>
          <w:i w:val="0"/>
          <w:color w:val="010860"/>
          <w:sz w:val="20"/>
        </w:rPr>
        <w:t>vício de citação / nulidade processual na execução fiscal</w:t>
      </w:r>
      <w:r>
        <w:rPr>
          <w:rFonts w:ascii="Inter" w:hAnsi="Inter"/>
          <w:b w:val="0"/>
          <w:i w:val="0"/>
          <w:color w:val="141414"/>
          <w:sz w:val="20"/>
        </w:rPr>
        <w:t xml:space="preserve">; e </w:t>
      </w:r>
      <w:r>
        <w:rPr>
          <w:rFonts w:ascii="Inter" w:hAnsi="Inter"/>
          <w:b/>
          <w:i w:val="0"/>
          <w:color w:val="010860"/>
          <w:sz w:val="20"/>
        </w:rPr>
        <w:t>encargos indevidos / cálculo incorreto</w:t>
      </w:r>
      <w:r>
        <w:rPr>
          <w:rFonts w:ascii="Inter" w:hAnsi="Inter"/>
          <w:b w:val="0"/>
          <w:i w:val="0"/>
          <w:color w:val="141414"/>
          <w:sz w:val="20"/>
        </w:rPr>
        <w:t xml:space="preserve"> (encargo legal, multa ou juros em desacordo, base equivocada, cumulações indevidas). Efeito prático: </w:t>
      </w:r>
      <w:r>
        <w:rPr>
          <w:rFonts w:ascii="Inter" w:hAnsi="Inter"/>
          <w:b/>
          <w:i w:val="0"/>
          <w:color w:val="010860"/>
          <w:sz w:val="20"/>
        </w:rPr>
        <w:t>antes de pedir desconto</w:t>
      </w:r>
      <w:r>
        <w:rPr>
          <w:rFonts w:ascii="Inter" w:hAnsi="Inter"/>
          <w:b w:val="0"/>
          <w:i w:val="0"/>
          <w:color w:val="141414"/>
          <w:sz w:val="20"/>
        </w:rPr>
        <w:t>, já expurgamos parcela da dívida que nem deveria estar sendo cobrada — o que melhora a foto para a CAPAG e para a negociação.</w:t>
      </w:r>
    </w:p>
    <w:p>
      <w:pPr>
        <w:pStyle w:val="Heading1"/>
      </w:pPr>
      <w:r>
        <w:t>PARTE 7 — QUALIFICAÇÃO DO LEAD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19. Quem é o cliente ideal para este produto?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Empresa com </w:t>
      </w:r>
      <w:r>
        <w:rPr>
          <w:rFonts w:ascii="Inter" w:hAnsi="Inter"/>
          <w:b/>
          <w:i w:val="0"/>
          <w:color w:val="010860"/>
          <w:sz w:val="19"/>
        </w:rPr>
        <w:t>passivo federal inscrito em Dívida Ativa da União</w:t>
      </w:r>
      <w:r>
        <w:rPr>
          <w:rFonts w:ascii="Inter" w:hAnsi="Inter"/>
          <w:b w:val="0"/>
          <w:i w:val="0"/>
          <w:color w:val="141414"/>
          <w:sz w:val="19"/>
        </w:rPr>
        <w:t xml:space="preserve"> (grande devedor).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Valor consolidado alto</w:t>
      </w:r>
      <w:r>
        <w:rPr>
          <w:rFonts w:ascii="Inter" w:hAnsi="Inter"/>
          <w:b w:val="0"/>
          <w:i w:val="0"/>
          <w:color w:val="141414"/>
          <w:sz w:val="19"/>
        </w:rPr>
        <w:t xml:space="preserve"> — o produto brilha em débitos que se enquadram na </w:t>
      </w:r>
      <w:r>
        <w:rPr>
          <w:rFonts w:ascii="Inter" w:hAnsi="Inter"/>
          <w:b/>
          <w:i w:val="0"/>
          <w:color w:val="010860"/>
          <w:sz w:val="19"/>
        </w:rPr>
        <w:t>transação individual</w:t>
      </w:r>
      <w:r>
        <w:rPr>
          <w:rFonts w:ascii="Inter" w:hAnsi="Inter"/>
          <w:b w:val="0"/>
          <w:i w:val="0"/>
          <w:color w:val="141414"/>
          <w:sz w:val="19"/>
        </w:rPr>
        <w:t xml:space="preserve"> (acima de R$ 10 mi) ou </w:t>
      </w:r>
      <w:r>
        <w:rPr>
          <w:rFonts w:ascii="Inter" w:hAnsi="Inter"/>
          <w:b/>
          <w:i w:val="0"/>
          <w:color w:val="010860"/>
          <w:sz w:val="19"/>
        </w:rPr>
        <w:t>simplificada</w:t>
      </w:r>
      <w:r>
        <w:rPr>
          <w:rFonts w:ascii="Inter" w:hAnsi="Inter"/>
          <w:b w:val="0"/>
          <w:i w:val="0"/>
          <w:color w:val="141414"/>
          <w:sz w:val="19"/>
        </w:rPr>
        <w:t xml:space="preserve"> (R$ 1 mi a R$ 10 mi). Pisos = VALIDAR na data.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Situação de </w:t>
      </w:r>
      <w:r>
        <w:rPr>
          <w:rFonts w:ascii="Inter" w:hAnsi="Inter"/>
          <w:b/>
          <w:i w:val="0"/>
          <w:color w:val="010860"/>
          <w:sz w:val="19"/>
        </w:rPr>
        <w:t>pressão</w:t>
      </w:r>
      <w:r>
        <w:rPr>
          <w:rFonts w:ascii="Inter" w:hAnsi="Inter"/>
          <w:b w:val="0"/>
          <w:i w:val="0"/>
          <w:color w:val="141414"/>
          <w:sz w:val="19"/>
        </w:rPr>
        <w:t xml:space="preserve">: </w:t>
      </w:r>
      <w:r>
        <w:rPr>
          <w:rFonts w:ascii="Inter" w:hAnsi="Inter"/>
          <w:b/>
          <w:i w:val="0"/>
          <w:color w:val="010860"/>
          <w:sz w:val="19"/>
        </w:rPr>
        <w:t>SISBAJUD</w:t>
      </w:r>
      <w:r>
        <w:rPr>
          <w:rFonts w:ascii="Inter" w:hAnsi="Inter"/>
          <w:b w:val="0"/>
          <w:i w:val="0"/>
          <w:color w:val="141414"/>
          <w:sz w:val="19"/>
        </w:rPr>
        <w:t xml:space="preserve"> (bloqueio de contas), </w:t>
      </w:r>
      <w:r>
        <w:rPr>
          <w:rFonts w:ascii="Inter" w:hAnsi="Inter"/>
          <w:b/>
          <w:i w:val="0"/>
          <w:color w:val="010860"/>
          <w:sz w:val="19"/>
        </w:rPr>
        <w:t>penhora</w:t>
      </w:r>
      <w:r>
        <w:rPr>
          <w:rFonts w:ascii="Inter" w:hAnsi="Inter"/>
          <w:b w:val="0"/>
          <w:i w:val="0"/>
          <w:color w:val="141414"/>
          <w:sz w:val="19"/>
        </w:rPr>
        <w:t xml:space="preserve">, execução fiscal em curso, </w:t>
      </w:r>
      <w:r>
        <w:rPr>
          <w:rFonts w:ascii="Inter" w:hAnsi="Inter"/>
          <w:b/>
          <w:i w:val="0"/>
          <w:color w:val="010860"/>
          <w:sz w:val="19"/>
        </w:rPr>
        <w:t>restrição de CND/CPEN-D</w:t>
      </w:r>
      <w:r>
        <w:rPr>
          <w:rFonts w:ascii="Inter" w:hAnsi="Inter"/>
          <w:b w:val="0"/>
          <w:i w:val="0"/>
          <w:color w:val="141414"/>
          <w:sz w:val="19"/>
        </w:rPr>
        <w:t xml:space="preserve"> (não consegue certidão, o que trava licitações, crédito e operações).</w:t>
      </w:r>
    </w:p>
    <w:p>
      <w:pPr>
        <w:pStyle w:val="ListBullet"/>
        <w:spacing w:after="60" w:before="0"/>
      </w:pPr>
      <w:r>
        <w:rPr>
          <w:rFonts w:ascii="Inter" w:hAnsi="Inter"/>
          <w:b w:val="0"/>
          <w:i w:val="0"/>
          <w:color w:val="141414"/>
          <w:sz w:val="19"/>
        </w:rPr>
        <w:t xml:space="preserve">Que tenha </w:t>
      </w:r>
      <w:r>
        <w:rPr>
          <w:rFonts w:ascii="Inter" w:hAnsi="Inter"/>
          <w:b/>
          <w:i w:val="0"/>
          <w:color w:val="010860"/>
          <w:sz w:val="19"/>
        </w:rPr>
        <w:t>PF/BCN acumulado</w:t>
      </w:r>
      <w:r>
        <w:rPr>
          <w:rFonts w:ascii="Inter" w:hAnsi="Inter"/>
          <w:b w:val="0"/>
          <w:i w:val="0"/>
          <w:color w:val="141414"/>
          <w:sz w:val="19"/>
        </w:rPr>
        <w:t xml:space="preserve"> (próprio ou no grupo) e/ou direitos creditórios — potencializa a economia de caixa.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20. Um débito só no contencioso administrativo (ainda não inscrito) serve?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A Transação da PGFN foca o que está </w:t>
      </w:r>
      <w:r>
        <w:rPr>
          <w:rFonts w:ascii="Inter" w:hAnsi="Inter"/>
          <w:b/>
          <w:i w:val="0"/>
          <w:color w:val="010860"/>
          <w:sz w:val="20"/>
        </w:rPr>
        <w:t>inscrito em Dívida Ativa</w:t>
      </w:r>
      <w:r>
        <w:rPr>
          <w:rFonts w:ascii="Inter" w:hAnsi="Inter"/>
          <w:b w:val="0"/>
          <w:i w:val="0"/>
          <w:color w:val="141414"/>
          <w:sz w:val="20"/>
        </w:rPr>
        <w:t xml:space="preserve">. Créditos ainda em discussão administrativa na RFB seguem regras próprias (há transação no contencioso tributário — Lei 13.988/2020, capítulo próprio). Qualifique pela </w:t>
      </w:r>
      <w:r>
        <w:rPr>
          <w:rFonts w:ascii="Inter" w:hAnsi="Inter"/>
          <w:b/>
          <w:i w:val="0"/>
          <w:color w:val="010860"/>
          <w:sz w:val="20"/>
        </w:rPr>
        <w:t>fase</w:t>
      </w:r>
      <w:r>
        <w:rPr>
          <w:rFonts w:ascii="Inter" w:hAnsi="Inter"/>
          <w:b w:val="0"/>
          <w:i w:val="0"/>
          <w:color w:val="141414"/>
          <w:sz w:val="20"/>
        </w:rPr>
        <w:t xml:space="preserve">: nosso produto-carro-chefe é o inscrito em DAU. </w:t>
      </w:r>
      <w:r>
        <w:rPr>
          <w:rFonts w:ascii="Inter" w:hAnsi="Inter"/>
          <w:b/>
          <w:i w:val="0"/>
          <w:color w:val="010860"/>
          <w:sz w:val="20"/>
        </w:rPr>
        <w:t>VALIDAR</w:t>
      </w:r>
      <w:r>
        <w:rPr>
          <w:rFonts w:ascii="Inter" w:hAnsi="Inter"/>
          <w:b w:val="0"/>
          <w:i w:val="0"/>
          <w:color w:val="141414"/>
          <w:sz w:val="20"/>
        </w:rPr>
        <w:t xml:space="preserve"> caso o passivo esteja em fase anterior.</w:t>
      </w:r>
    </w:p>
    <w:p>
      <w:pPr>
        <w:pStyle w:val="Heading1"/>
      </w:pPr>
      <w:r>
        <w:t>PARTE 8 — BENEFÍCIOS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21. Quais são os benefícios concretos para o cliente?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Saneamento de balanço:</w:t>
      </w:r>
      <w:r>
        <w:rPr>
          <w:rFonts w:ascii="Inter" w:hAnsi="Inter"/>
          <w:b w:val="0"/>
          <w:i w:val="0"/>
          <w:color w:val="141414"/>
          <w:sz w:val="19"/>
        </w:rPr>
        <w:t xml:space="preserve"> troca de um passivo fiscal tóxico e crescente por uma solução definida e provisionada — melhora indicadores e relação com bancos/investidores.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Preservação de caixa:</w:t>
      </w:r>
      <w:r>
        <w:rPr>
          <w:rFonts w:ascii="Inter" w:hAnsi="Inter"/>
          <w:b w:val="0"/>
          <w:i w:val="0"/>
          <w:color w:val="141414"/>
          <w:sz w:val="19"/>
        </w:rPr>
        <w:t xml:space="preserve"> uso de </w:t>
      </w:r>
      <w:r>
        <w:rPr>
          <w:rFonts w:ascii="Inter" w:hAnsi="Inter"/>
          <w:b/>
          <w:i w:val="0"/>
          <w:color w:val="010860"/>
          <w:sz w:val="19"/>
        </w:rPr>
        <w:t>PF/BCN</w:t>
      </w:r>
      <w:r>
        <w:rPr>
          <w:rFonts w:ascii="Inter" w:hAnsi="Inter"/>
          <w:b w:val="0"/>
          <w:i w:val="0"/>
          <w:color w:val="141414"/>
          <w:sz w:val="19"/>
        </w:rPr>
        <w:t xml:space="preserve"> (ativo muitas vezes "parado") para pagar dívida, em vez de queimar liquidez.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Levantamento de constrições:</w:t>
      </w:r>
      <w:r>
        <w:rPr>
          <w:rFonts w:ascii="Inter" w:hAnsi="Inter"/>
          <w:b w:val="0"/>
          <w:i w:val="0"/>
          <w:color w:val="141414"/>
          <w:sz w:val="19"/>
        </w:rPr>
        <w:t xml:space="preserve"> com o acordo, é possível </w:t>
      </w:r>
      <w:r>
        <w:rPr>
          <w:rFonts w:ascii="Inter" w:hAnsi="Inter"/>
          <w:b/>
          <w:i w:val="0"/>
          <w:color w:val="010860"/>
          <w:sz w:val="19"/>
        </w:rPr>
        <w:t>liberar penhoras e bloqueios (SISBAJUD)</w:t>
      </w:r>
      <w:r>
        <w:rPr>
          <w:rFonts w:ascii="Inter" w:hAnsi="Inter"/>
          <w:b w:val="0"/>
          <w:i w:val="0"/>
          <w:color w:val="141414"/>
          <w:sz w:val="19"/>
        </w:rPr>
        <w:t>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Obtenção de certidão:</w:t>
      </w:r>
      <w:r>
        <w:rPr>
          <w:rFonts w:ascii="Inter" w:hAnsi="Inter"/>
          <w:b w:val="0"/>
          <w:i w:val="0"/>
          <w:color w:val="141414"/>
          <w:sz w:val="19"/>
        </w:rPr>
        <w:t xml:space="preserve"> transação em dia permite </w:t>
      </w:r>
      <w:r>
        <w:rPr>
          <w:rFonts w:ascii="Inter" w:hAnsi="Inter"/>
          <w:b/>
          <w:i w:val="0"/>
          <w:color w:val="010860"/>
          <w:sz w:val="19"/>
        </w:rPr>
        <w:t>CND/CPEN-D</w:t>
      </w:r>
      <w:r>
        <w:rPr>
          <w:rFonts w:ascii="Inter" w:hAnsi="Inter"/>
          <w:b w:val="0"/>
          <w:i w:val="0"/>
          <w:color w:val="141414"/>
          <w:sz w:val="19"/>
        </w:rPr>
        <w:t>, destravando licitações, financiamentos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Segurança jurídica:</w:t>
      </w:r>
      <w:r>
        <w:rPr>
          <w:rFonts w:ascii="Inter" w:hAnsi="Inter"/>
          <w:b w:val="0"/>
          <w:i w:val="0"/>
          <w:color w:val="141414"/>
          <w:sz w:val="19"/>
        </w:rPr>
        <w:t xml:space="preserve"> encerra o litígio e </w:t>
      </w:r>
      <w:r>
        <w:rPr>
          <w:rFonts w:ascii="Inter" w:hAnsi="Inter"/>
          <w:b/>
          <w:i w:val="0"/>
          <w:color w:val="010860"/>
          <w:sz w:val="19"/>
        </w:rPr>
        <w:t>extingue o crédito</w:t>
      </w:r>
      <w:r>
        <w:rPr>
          <w:rFonts w:ascii="Inter" w:hAnsi="Inter"/>
          <w:b w:val="0"/>
          <w:i w:val="0"/>
          <w:color w:val="141414"/>
          <w:sz w:val="19"/>
        </w:rPr>
        <w:t xml:space="preserve"> (CTN, art. 156, III) ao fim do cumprimento.</w:t>
      </w:r>
    </w:p>
    <w:p>
      <w:pPr>
        <w:pStyle w:val="Heading1"/>
      </w:pPr>
      <w:r>
        <w:t>PARTE 9 — OBJEÇÕES E RESPOSTAS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22. "Já estou em parcelamento comum."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"Parcelamento é diluição, não redução — o saldo segue corrigido pela SELIC e sem desconto. Na transação avaliamos </w:t>
      </w:r>
      <w:r>
        <w:rPr>
          <w:rFonts w:ascii="Inter" w:hAnsi="Inter"/>
          <w:b/>
          <w:i w:val="0"/>
          <w:color w:val="010860"/>
          <w:sz w:val="20"/>
        </w:rPr>
        <w:t>migrar/rescindir</w:t>
      </w:r>
      <w:r>
        <w:rPr>
          <w:rFonts w:ascii="Inter" w:hAnsi="Inter"/>
          <w:b w:val="0"/>
          <w:i w:val="0"/>
          <w:color w:val="141414"/>
          <w:sz w:val="20"/>
        </w:rPr>
        <w:t xml:space="preserve"> o parcelamento atual para uma estrutura com </w:t>
      </w:r>
      <w:r>
        <w:rPr>
          <w:rFonts w:ascii="Inter" w:hAnsi="Inter"/>
          <w:b/>
          <w:i w:val="0"/>
          <w:color w:val="010860"/>
          <w:sz w:val="20"/>
        </w:rPr>
        <w:t>desconto sobre acessórios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quitação com seus créditos de PF/BCN</w:t>
      </w:r>
      <w:r>
        <w:rPr>
          <w:rFonts w:ascii="Inter" w:hAnsi="Inter"/>
          <w:b w:val="0"/>
          <w:i w:val="0"/>
          <w:color w:val="141414"/>
          <w:sz w:val="20"/>
        </w:rPr>
        <w:t xml:space="preserve">, o que costuma </w:t>
      </w:r>
      <w:r>
        <w:rPr>
          <w:rFonts w:ascii="Inter" w:hAnsi="Inter"/>
          <w:b/>
          <w:i w:val="0"/>
          <w:color w:val="010860"/>
          <w:sz w:val="20"/>
        </w:rPr>
        <w:t>reduzir o caixa total</w:t>
      </w:r>
      <w:r>
        <w:rPr>
          <w:rFonts w:ascii="Inter" w:hAnsi="Inter"/>
          <w:b w:val="0"/>
          <w:i w:val="0"/>
          <w:color w:val="141414"/>
          <w:sz w:val="20"/>
        </w:rPr>
        <w:t>. Vamos comparar os dois cenários lado a lado antes de qualquer decisão." (Migração de parcelamento exige análise de perda de benefícios — VALIDAR caso a caso.)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23. "Não tenho caixa para isso."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"O ponto central da nossa solução é </w:t>
      </w:r>
      <w:r>
        <w:rPr>
          <w:rFonts w:ascii="Inter" w:hAnsi="Inter"/>
          <w:b/>
          <w:i w:val="0"/>
          <w:color w:val="010860"/>
          <w:sz w:val="20"/>
        </w:rPr>
        <w:t>não depender de caixa</w:t>
      </w:r>
      <w:r>
        <w:rPr>
          <w:rFonts w:ascii="Inter" w:hAnsi="Inter"/>
          <w:b w:val="0"/>
          <w:i w:val="0"/>
          <w:color w:val="141414"/>
          <w:sz w:val="20"/>
        </w:rPr>
        <w:t xml:space="preserve">: até </w:t>
      </w:r>
      <w:r>
        <w:rPr>
          <w:rFonts w:ascii="Inter" w:hAnsi="Inter"/>
          <w:b/>
          <w:i w:val="0"/>
          <w:color w:val="010860"/>
          <w:sz w:val="20"/>
        </w:rPr>
        <w:t>70% do saldo após descontos</w:t>
      </w:r>
      <w:r>
        <w:rPr>
          <w:rFonts w:ascii="Inter" w:hAnsi="Inter"/>
          <w:b w:val="0"/>
          <w:i w:val="0"/>
          <w:color w:val="141414"/>
          <w:sz w:val="20"/>
        </w:rPr>
        <w:t xml:space="preserve"> pode ser quitado com </w:t>
      </w:r>
      <w:r>
        <w:rPr>
          <w:rFonts w:ascii="Inter" w:hAnsi="Inter"/>
          <w:b/>
          <w:i w:val="0"/>
          <w:color w:val="010860"/>
          <w:sz w:val="20"/>
        </w:rPr>
        <w:t>Prejuízo Fiscal e Base Negativa de CSLL</w:t>
      </w:r>
      <w:r>
        <w:rPr>
          <w:rFonts w:ascii="Inter" w:hAnsi="Inter"/>
          <w:b w:val="0"/>
          <w:i w:val="0"/>
          <w:color w:val="141414"/>
          <w:sz w:val="20"/>
        </w:rPr>
        <w:t xml:space="preserve"> — inclusive do seu grupo econômico. Você usa um </w:t>
      </w:r>
      <w:r>
        <w:rPr>
          <w:rFonts w:ascii="Inter" w:hAnsi="Inter"/>
          <w:b/>
          <w:i w:val="0"/>
          <w:color w:val="010860"/>
          <w:sz w:val="20"/>
        </w:rPr>
        <w:t>ativo fiscal que hoje está parado</w:t>
      </w:r>
      <w:r>
        <w:rPr>
          <w:rFonts w:ascii="Inter" w:hAnsi="Inter"/>
          <w:b w:val="0"/>
          <w:i w:val="0"/>
          <w:color w:val="141414"/>
          <w:sz w:val="20"/>
        </w:rPr>
        <w:t xml:space="preserve"> para liquidar dívida; o desembolso em dinheiro é só o resíduo, parcelado."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24. "E se a PGFN negar?"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"Trabalhamos com </w:t>
      </w:r>
      <w:r>
        <w:rPr>
          <w:rFonts w:ascii="Inter" w:hAnsi="Inter"/>
          <w:b/>
          <w:i w:val="0"/>
          <w:color w:val="010860"/>
          <w:sz w:val="20"/>
        </w:rPr>
        <w:t>modalidade individual</w:t>
      </w:r>
      <w:r>
        <w:rPr>
          <w:rFonts w:ascii="Inter" w:hAnsi="Inter"/>
          <w:b w:val="0"/>
          <w:i w:val="0"/>
          <w:color w:val="141414"/>
          <w:sz w:val="20"/>
        </w:rPr>
        <w:t xml:space="preserve">, construída sobre CAPAG revisada e saneamento das CDAs — ou seja, uma proposta tecnicamente sustentada, não um 'chute'. Se uma via não avança, há </w:t>
      </w:r>
      <w:r>
        <w:rPr>
          <w:rFonts w:ascii="Inter" w:hAnsi="Inter"/>
          <w:b/>
          <w:i w:val="0"/>
          <w:color w:val="010860"/>
          <w:sz w:val="20"/>
        </w:rPr>
        <w:t>modalidades alternativas</w:t>
      </w:r>
      <w:r>
        <w:rPr>
          <w:rFonts w:ascii="Inter" w:hAnsi="Inter"/>
          <w:b w:val="0"/>
          <w:i w:val="0"/>
          <w:color w:val="141414"/>
          <w:sz w:val="20"/>
        </w:rPr>
        <w:t xml:space="preserve"> (adesão, simplificada) e o próprio processo de </w:t>
      </w:r>
      <w:r>
        <w:rPr>
          <w:rFonts w:ascii="Inter" w:hAnsi="Inter"/>
          <w:b/>
          <w:i w:val="0"/>
          <w:color w:val="010860"/>
          <w:sz w:val="20"/>
        </w:rPr>
        <w:t>revisão de CAPAG</w:t>
      </w:r>
      <w:r>
        <w:rPr>
          <w:rFonts w:ascii="Inter" w:hAnsi="Inter"/>
          <w:b w:val="0"/>
          <w:i w:val="0"/>
          <w:color w:val="141414"/>
          <w:sz w:val="20"/>
        </w:rPr>
        <w:t>. O diagnóstico prévio existe justamente para calibrar a proposta ao que a norma permite." (Não prometer aprovação — a decisão é da PGFN.)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25. "Isso prejudica meu nome / meu CNPJ?"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"Ao contrário. A transação </w:t>
      </w:r>
      <w:r>
        <w:rPr>
          <w:rFonts w:ascii="Inter" w:hAnsi="Inter"/>
          <w:b/>
          <w:i w:val="0"/>
          <w:color w:val="010860"/>
          <w:sz w:val="20"/>
        </w:rPr>
        <w:t>regulariza</w:t>
      </w:r>
      <w:r>
        <w:rPr>
          <w:rFonts w:ascii="Inter" w:hAnsi="Inter"/>
          <w:b w:val="0"/>
          <w:i w:val="0"/>
          <w:color w:val="141414"/>
          <w:sz w:val="20"/>
        </w:rPr>
        <w:t xml:space="preserve"> a situação: permite </w:t>
      </w:r>
      <w:r>
        <w:rPr>
          <w:rFonts w:ascii="Inter" w:hAnsi="Inter"/>
          <w:b/>
          <w:i w:val="0"/>
          <w:color w:val="010860"/>
          <w:sz w:val="20"/>
        </w:rPr>
        <w:t>levantar penhoras/bloqueios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obter CND/CPEN-D</w:t>
      </w:r>
      <w:r>
        <w:rPr>
          <w:rFonts w:ascii="Inter" w:hAnsi="Inter"/>
          <w:b w:val="0"/>
          <w:i w:val="0"/>
          <w:color w:val="141414"/>
          <w:sz w:val="20"/>
        </w:rPr>
        <w:t xml:space="preserve">. É um instrumento </w:t>
      </w:r>
      <w:r>
        <w:rPr>
          <w:rFonts w:ascii="Inter" w:hAnsi="Inter"/>
          <w:b/>
          <w:i w:val="0"/>
          <w:color w:val="010860"/>
          <w:sz w:val="20"/>
        </w:rPr>
        <w:t>legal e institucional</w:t>
      </w:r>
      <w:r>
        <w:rPr>
          <w:rFonts w:ascii="Inter" w:hAnsi="Inter"/>
          <w:b w:val="0"/>
          <w:i w:val="0"/>
          <w:color w:val="141414"/>
          <w:sz w:val="20"/>
        </w:rPr>
        <w:t xml:space="preserve"> da própria PGFN (Lei 13.988/2020) — o efeito é de </w:t>
      </w:r>
      <w:r>
        <w:rPr>
          <w:rFonts w:ascii="Inter" w:hAnsi="Inter"/>
          <w:b/>
          <w:i w:val="0"/>
          <w:color w:val="010860"/>
          <w:sz w:val="20"/>
        </w:rPr>
        <w:t>limpeza de balanço e de reputação fiscal</w:t>
      </w:r>
      <w:r>
        <w:rPr>
          <w:rFonts w:ascii="Inter" w:hAnsi="Inter"/>
          <w:b w:val="0"/>
          <w:i w:val="0"/>
          <w:color w:val="141414"/>
          <w:sz w:val="20"/>
        </w:rPr>
        <w:t>, não de mácula."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26. "Quanto eu vou economizar?"</w:t>
      </w: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"A lei permite </w:t>
      </w:r>
      <w:r>
        <w:rPr>
          <w:rFonts w:ascii="Inter" w:hAnsi="Inter"/>
          <w:b/>
          <w:i w:val="0"/>
          <w:color w:val="010860"/>
          <w:sz w:val="20"/>
        </w:rPr>
        <w:t>até 65% de desconto sobre o total</w:t>
      </w:r>
      <w:r>
        <w:rPr>
          <w:rFonts w:ascii="Inter" w:hAnsi="Inter"/>
          <w:b w:val="0"/>
          <w:i w:val="0"/>
          <w:color w:val="141414"/>
          <w:sz w:val="20"/>
        </w:rPr>
        <w:t xml:space="preserve"> e </w:t>
      </w:r>
      <w:r>
        <w:rPr>
          <w:rFonts w:ascii="Inter" w:hAnsi="Inter"/>
          <w:b/>
          <w:i w:val="0"/>
          <w:color w:val="010860"/>
          <w:sz w:val="20"/>
        </w:rPr>
        <w:t>até 70% do saldo quitado com créditos</w:t>
      </w:r>
      <w:r>
        <w:rPr>
          <w:rFonts w:ascii="Inter" w:hAnsi="Inter"/>
          <w:b w:val="0"/>
          <w:i w:val="0"/>
          <w:color w:val="141414"/>
          <w:sz w:val="20"/>
        </w:rPr>
        <w:t xml:space="preserve">, mas o número </w:t>
      </w:r>
      <w:r>
        <w:rPr>
          <w:rFonts w:ascii="Inter" w:hAnsi="Inter"/>
          <w:b/>
          <w:i w:val="0"/>
          <w:color w:val="010860"/>
          <w:sz w:val="20"/>
        </w:rPr>
        <w:t>efetivo</w:t>
      </w:r>
      <w:r>
        <w:rPr>
          <w:rFonts w:ascii="Inter" w:hAnsi="Inter"/>
          <w:b w:val="0"/>
          <w:i w:val="0"/>
          <w:color w:val="141414"/>
          <w:sz w:val="20"/>
        </w:rPr>
        <w:t xml:space="preserve"> depende da sua </w:t>
      </w:r>
      <w:r>
        <w:rPr>
          <w:rFonts w:ascii="Inter" w:hAnsi="Inter"/>
          <w:b/>
          <w:i w:val="0"/>
          <w:color w:val="010860"/>
          <w:sz w:val="20"/>
        </w:rPr>
        <w:t>CAPAG</w:t>
      </w:r>
      <w:r>
        <w:rPr>
          <w:rFonts w:ascii="Inter" w:hAnsi="Inter"/>
          <w:b w:val="0"/>
          <w:i w:val="0"/>
          <w:color w:val="141414"/>
          <w:sz w:val="20"/>
        </w:rPr>
        <w:t xml:space="preserve"> e da classificação dos créditos. Por isso o primeiro passo é o </w:t>
      </w:r>
      <w:r>
        <w:rPr>
          <w:rFonts w:ascii="Inter" w:hAnsi="Inter"/>
          <w:b/>
          <w:i w:val="0"/>
          <w:color w:val="010860"/>
          <w:sz w:val="20"/>
        </w:rPr>
        <w:t>diagnóstico</w:t>
      </w:r>
      <w:r>
        <w:rPr>
          <w:rFonts w:ascii="Inter" w:hAnsi="Inter"/>
          <w:b w:val="0"/>
          <w:i w:val="0"/>
          <w:color w:val="141414"/>
          <w:sz w:val="20"/>
        </w:rPr>
        <w:t xml:space="preserve">: só depois de periciar as CDAs e revisar a CAPAG eu te trago um </w:t>
      </w:r>
      <w:r>
        <w:rPr>
          <w:rFonts w:ascii="Inter" w:hAnsi="Inter"/>
          <w:b/>
          <w:i w:val="0"/>
          <w:color w:val="010860"/>
          <w:sz w:val="20"/>
        </w:rPr>
        <w:t>waterfall real</w:t>
      </w:r>
      <w:r>
        <w:rPr>
          <w:rFonts w:ascii="Inter" w:hAnsi="Inter"/>
          <w:b w:val="0"/>
          <w:i w:val="0"/>
          <w:color w:val="141414"/>
          <w:sz w:val="20"/>
        </w:rPr>
        <w:t>. Não trabalho com promessa de percentual no escuro." (Percentual efetivo = PARÂMETRO A VALIDAR.)</w:t>
      </w:r>
    </w:p>
    <w:p>
      <w:pPr>
        <w:pStyle w:val="Heading1"/>
      </w:pPr>
      <w:r>
        <w:t>PARTE 10 — EXEMPLO PRÁTICO (ILUSTRATIVO)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27. Como fica um waterfall ilustrativo da economia?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38"/>
      </w:tblGrid>
      <w:tr>
        <w:tc>
          <w:tcPr>
            <w:tcW w:type="dxa" w:w="9638"/>
            <w:shd w:val="clear" w:color="auto" w:fill="FFF8EC"/>
            <w:tcBorders>
              <w:top w:val="single" w:sz="4" w:space="0" w:color="E8D3A8"/>
              <w:bottom w:val="single" w:sz="4" w:space="0" w:color="E8D3A8"/>
              <w:right w:val="single" w:sz="4" w:space="0" w:color="E8D3A8"/>
              <w:left w:val="single" w:sz="26" w:space="0" w:color="C6A15B"/>
            </w:tcBorders>
            <w:tcMar>
              <w:top w:w="110" w:type="dxa"/>
              <w:bottom w:w="110" w:type="dxa"/>
              <w:start w:w="200" w:type="dxa"/>
              <w:end w:w="180" w:type="dxa"/>
            </w:tcMar>
          </w:tcPr>
          <w:p>
            <w:pPr>
              <w:spacing w:after="80"/>
            </w:pPr>
            <w:r/>
            <w:r>
              <w:rPr>
                <w:rFonts w:ascii="Montserrat" w:hAnsi="Montserrat"/>
                <w:b/>
                <w:color w:val="7A5A1E"/>
                <w:sz w:val="21"/>
              </w:rPr>
              <w:t>⬧ EXEMPLO ILUSTRATIVO — não usar como proposta</w:t>
            </w:r>
          </w:p>
          <w:p>
            <w:pPr>
              <w:spacing w:after="40" w:line="288" w:lineRule="auto"/>
            </w:pPr>
            <w:r>
              <w:rPr>
                <w:rFonts w:ascii="Inter" w:hAnsi="Inter"/>
                <w:b/>
                <w:color w:val="010860"/>
                <w:sz w:val="19"/>
              </w:rPr>
              <w:t>EXEMPLO MERAMENTE ILUSTRATIVO — todos os percentuais/valores são PARÂMETRO A VALIDAR no caso concreto. Não usar como promessa.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1361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443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2835"/>
            <w:shd w:val="clear" w:color="auto" w:fill="010860"/>
            <w:tcBorders>
              <w:top w:val="single" w:sz="4" w:space="0" w:color="010860"/>
              <w:bottom w:val="single" w:sz="4" w:space="0" w:color="010860"/>
              <w:left w:val="single" w:sz="4" w:space="0" w:color="010860"/>
              <w:right w:val="single" w:sz="4" w:space="0" w:color="01086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center"/>
            </w:pPr>
            <w:r/>
            <w:r>
              <w:rPr>
                <w:rFonts w:ascii="Montserrat" w:hAnsi="Montserrat" w:cs="Montserrat"/>
                <w:b/>
                <w:color w:val="FFFFFF"/>
                <w:sz w:val="18"/>
              </w:rPr>
              <w:t>Valor (ilustrativo)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A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Passivo consolidado em Dívida Ativa (principal + acessórios)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R$ 100.000.000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B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Expurgo por saneamento das CDAs (prescrição/decadência/encargos)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R$ 15.000.000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C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Base após saneamento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R$ 85.000.000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D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Desconto de transação sobre acessórios (teto até 65%, efetivo por CAPAG)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R$ 25.000.000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E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remanescente após descontos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R$ 60.000.000</w:t>
            </w:r>
          </w:p>
        </w:tc>
      </w:tr>
      <w:tr>
        <w:tc>
          <w:tcPr>
            <w:tcW w:type="dxa" w:w="1361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F</w:t>
            </w:r>
          </w:p>
        </w:tc>
        <w:tc>
          <w:tcPr>
            <w:tcW w:type="dxa" w:w="5443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Quitação com PF/BCN (até 70% do saldo)</w:t>
            </w:r>
          </w:p>
        </w:tc>
        <w:tc>
          <w:tcPr>
            <w:tcW w:type="dxa" w:w="2835"/>
            <w:shd w:val="clear" w:color="auto" w:fill="F4F5FB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– R$ 42.000.000</w:t>
            </w:r>
          </w:p>
        </w:tc>
      </w:tr>
      <w:tr>
        <w:tc>
          <w:tcPr>
            <w:tcW w:type="dxa" w:w="1361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/>
                <w:color w:val="010860"/>
                <w:sz w:val="17"/>
              </w:rPr>
              <w:t>G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lef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Saldo final em caixa, parcelado em até 120 meses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E1E3F0"/>
              <w:bottom w:val="single" w:sz="4" w:space="0" w:color="E1E3F0"/>
              <w:left w:val="single" w:sz="4" w:space="0" w:color="E1E3F0"/>
              <w:right w:val="single" w:sz="4" w:space="0" w:color="E1E3F0"/>
            </w:tcBorders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 w:before="0" w:line="278" w:lineRule="auto"/>
              <w:jc w:val="right"/>
            </w:pPr>
            <w:r/>
            <w:r>
              <w:rPr>
                <w:rFonts w:ascii="Inter" w:hAnsi="Inter" w:cs="Inter"/>
                <w:b w:val="0"/>
                <w:color w:val="141414"/>
                <w:sz w:val="17"/>
              </w:rPr>
              <w:t>R$ 18.000.000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Inter" w:hAnsi="Inter"/>
          <w:b w:val="0"/>
          <w:i w:val="0"/>
          <w:color w:val="141414"/>
          <w:sz w:val="20"/>
        </w:rPr>
        <w:t xml:space="preserve">Leitura de venda: de R$ 100 mi o cliente sai com </w:t>
      </w:r>
      <w:r>
        <w:rPr>
          <w:rFonts w:ascii="Inter" w:hAnsi="Inter"/>
          <w:b/>
          <w:i w:val="0"/>
          <w:color w:val="010860"/>
          <w:sz w:val="20"/>
        </w:rPr>
        <w:t>R$ 18 mi de desembolso em dinheiro</w:t>
      </w:r>
      <w:r>
        <w:rPr>
          <w:rFonts w:ascii="Inter" w:hAnsi="Inter"/>
          <w:b w:val="0"/>
          <w:i w:val="0"/>
          <w:color w:val="141414"/>
          <w:sz w:val="20"/>
        </w:rPr>
        <w:t xml:space="preserve">, parcelado — usando crédito parado e expurgo de valores indevidos. </w:t>
      </w:r>
      <w:r>
        <w:rPr>
          <w:rFonts w:ascii="Inter" w:hAnsi="Inter"/>
          <w:b/>
          <w:i w:val="0"/>
          <w:color w:val="010860"/>
          <w:sz w:val="20"/>
        </w:rPr>
        <w:t>Os números acima são fictícios</w:t>
      </w:r>
      <w:r>
        <w:rPr>
          <w:rFonts w:ascii="Inter" w:hAnsi="Inter"/>
          <w:b w:val="0"/>
          <w:i w:val="0"/>
          <w:color w:val="141414"/>
          <w:sz w:val="20"/>
        </w:rPr>
        <w:t>; o waterfall real só sai após diagnóstico.</w:t>
      </w:r>
    </w:p>
    <w:p>
      <w:pPr>
        <w:pStyle w:val="Heading1"/>
      </w:pPr>
      <w:r>
        <w:t>PARTE 11 — LIMITES E RISCOS</w:t>
      </w:r>
    </w:p>
    <w:p>
      <w:pPr>
        <w:keepNext/>
        <w:spacing w:before="200" w:after="40"/>
      </w:pPr>
      <w:r>
        <w:rPr>
          <w:rFonts w:ascii="Montserrat" w:hAnsi="Montserrat"/>
          <w:b/>
          <w:color w:val="7A5A1E"/>
          <w:sz w:val="22"/>
        </w:rPr>
        <w:t xml:space="preserve">▸  </w:t>
      </w:r>
      <w:r>
        <w:rPr>
          <w:rFonts w:ascii="Montserrat" w:hAnsi="Montserrat"/>
          <w:b/>
          <w:color w:val="010860"/>
          <w:sz w:val="22"/>
        </w:rPr>
        <w:t>28. O que a transação NÃO faz / quais os limites e riscos?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Não perdoa o principal (em regra):</w:t>
      </w:r>
      <w:r>
        <w:rPr>
          <w:rFonts w:ascii="Inter" w:hAnsi="Inter"/>
          <w:b w:val="0"/>
          <w:i w:val="0"/>
          <w:color w:val="141414"/>
          <w:sz w:val="19"/>
        </w:rPr>
        <w:t xml:space="preserve"> os descontos incidem sobre </w:t>
      </w:r>
      <w:r>
        <w:rPr>
          <w:rFonts w:ascii="Inter" w:hAnsi="Inter"/>
          <w:b/>
          <w:i w:val="0"/>
          <w:color w:val="010860"/>
          <w:sz w:val="19"/>
        </w:rPr>
        <w:t>multa, juros e encargos legais</w:t>
      </w:r>
      <w:r>
        <w:rPr>
          <w:rFonts w:ascii="Inter" w:hAnsi="Inter"/>
          <w:b w:val="0"/>
          <w:i w:val="0"/>
          <w:color w:val="141414"/>
          <w:sz w:val="19"/>
        </w:rPr>
        <w:t xml:space="preserve">, não sobre o valor principal do tributo. Há </w:t>
      </w:r>
      <w:r>
        <w:rPr>
          <w:rFonts w:ascii="Inter" w:hAnsi="Inter"/>
          <w:b/>
          <w:i w:val="0"/>
          <w:color w:val="010860"/>
          <w:sz w:val="19"/>
        </w:rPr>
        <w:t>vedação legal a reduzir o principal</w:t>
      </w:r>
      <w:r>
        <w:rPr>
          <w:rFonts w:ascii="Inter" w:hAnsi="Inter"/>
          <w:b w:val="0"/>
          <w:i w:val="0"/>
          <w:color w:val="141414"/>
          <w:sz w:val="19"/>
        </w:rPr>
        <w:t xml:space="preserve"> de certos créditos. Nunca venda "desconto sobre o imposto em si".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Desconto depende de crédito ser "irrecuperável/difícil recuperação":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créditos com boa recuperabilidade (CAPAG alta) têm </w:t>
      </w:r>
      <w:r>
        <w:rPr>
          <w:rFonts w:ascii="Inter" w:hAnsi="Inter"/>
          <w:b/>
          <w:i w:val="0"/>
          <w:color w:val="010860"/>
          <w:sz w:val="19"/>
        </w:rPr>
        <w:t>desconto pequeno ou nenhum</w:t>
      </w:r>
      <w:r>
        <w:rPr>
          <w:rFonts w:ascii="Inter" w:hAnsi="Inter"/>
          <w:b w:val="0"/>
          <w:i w:val="0"/>
          <w:color w:val="141414"/>
          <w:sz w:val="19"/>
        </w:rPr>
        <w:t xml:space="preserve"> — só prazo. Por isso a revisão de CAPAG é decisiva.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PF/BCN é meio de pagamento, não abatimento do principal</w:t>
      </w:r>
      <w:r>
        <w:rPr>
          <w:rFonts w:ascii="Inter" w:hAnsi="Inter"/>
          <w:b w:val="0"/>
          <w:i w:val="0"/>
          <w:color w:val="141414"/>
          <w:sz w:val="19"/>
        </w:rPr>
        <w:t>, limitado a 70% do saldo pós-desconto, só sobre acessórios de créditos de difícil recuperação. Tema com fiscalização do TCU — acompanhar.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Rescisão por inadimplemento:</w:t>
      </w:r>
      <w:r>
        <w:rPr>
          <w:rFonts w:ascii="Inter" w:hAnsi="Inter"/>
          <w:b w:val="0"/>
          <w:i w:val="0"/>
          <w:color w:val="141414"/>
          <w:sz w:val="19"/>
        </w:rPr>
        <w:t xml:space="preserve"> atraso/descumprimento das parcelas ou das obrigações do acordo </w:t>
      </w:r>
      <w:r>
        <w:rPr>
          <w:rFonts w:ascii="Inter" w:hAnsi="Inter"/>
          <w:b/>
          <w:i w:val="0"/>
          <w:color w:val="010860"/>
          <w:sz w:val="19"/>
        </w:rPr>
        <w:t>rescinde a transação</w:t>
      </w:r>
      <w:r>
        <w:rPr>
          <w:rFonts w:ascii="Inter" w:hAnsi="Inter"/>
          <w:b w:val="0"/>
          <w:i w:val="0"/>
          <w:color w:val="141414"/>
          <w:sz w:val="19"/>
        </w:rPr>
        <w:t xml:space="preserve">, com </w:t>
      </w:r>
      <w:r>
        <w:rPr>
          <w:rFonts w:ascii="Inter" w:hAnsi="Inter"/>
          <w:b/>
          <w:i w:val="0"/>
          <w:color w:val="010860"/>
          <w:sz w:val="19"/>
        </w:rPr>
        <w:t>restabelecimento da dívida</w:t>
      </w:r>
      <w:r>
        <w:rPr>
          <w:rFonts w:ascii="Inter" w:hAnsi="Inter"/>
          <w:b w:val="0"/>
          <w:i w:val="0"/>
          <w:color w:val="141414"/>
          <w:sz w:val="19"/>
        </w:rPr>
        <w:t xml:space="preserve"> (deduzido o pago) e execução das garantias. O cliente precisa ter fôlego para o resíduo.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Vedações:</w:t>
      </w:r>
      <w:r>
        <w:rPr>
          <w:rFonts w:ascii="Inter" w:hAnsi="Inter"/>
          <w:b w:val="0"/>
          <w:i w:val="0"/>
          <w:color w:val="141414"/>
          <w:sz w:val="19"/>
        </w:rPr>
        <w:t xml:space="preserve"> há hipóteses vedadas (ex.: devedor com histórico de fraude/uso abusivo, certos créditos, reincidência) — </w:t>
      </w:r>
      <w:r>
        <w:rPr>
          <w:rFonts w:ascii="Inter" w:hAnsi="Inter"/>
          <w:b/>
          <w:i w:val="0"/>
          <w:color w:val="010860"/>
          <w:sz w:val="19"/>
        </w:rPr>
        <w:t>VALIDAR</w:t>
      </w:r>
      <w:r>
        <w:rPr>
          <w:rFonts w:ascii="Inter" w:hAnsi="Inter"/>
          <w:b w:val="0"/>
          <w:i w:val="0"/>
          <w:color w:val="141414"/>
          <w:sz w:val="19"/>
        </w:rPr>
        <w:t xml:space="preserve"> na Portaria vigente antes de prometer.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Discricionariedade da PGFN:</w:t>
      </w:r>
      <w:r>
        <w:rPr>
          <w:rFonts w:ascii="Inter" w:hAnsi="Inter"/>
          <w:b w:val="0"/>
          <w:i w:val="0"/>
          <w:color w:val="141414"/>
          <w:sz w:val="19"/>
        </w:rPr>
        <w:t xml:space="preserve"> a aceitação e as condições finais são </w:t>
      </w:r>
      <w:r>
        <w:rPr>
          <w:rFonts w:ascii="Inter" w:hAnsi="Inter"/>
          <w:b/>
          <w:i w:val="0"/>
          <w:color w:val="010860"/>
          <w:sz w:val="19"/>
        </w:rPr>
        <w:t>decisão da Procuradoria</w:t>
      </w:r>
      <w:r>
        <w:rPr>
          <w:rFonts w:ascii="Inter" w:hAnsi="Inter"/>
          <w:b w:val="0"/>
          <w:i w:val="0"/>
          <w:color w:val="141414"/>
          <w:sz w:val="19"/>
        </w:rPr>
        <w:t>. Não há direito subjetivo a um percentual.</w:t>
      </w:r>
    </w:p>
    <w:p>
      <w:pPr>
        <w:pStyle w:val="Heading1"/>
      </w:pPr>
      <w:r>
        <w:t>GLOSSÁRIO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Dívida Ativa da União (DAU):</w:t>
      </w:r>
      <w:r>
        <w:rPr>
          <w:rFonts w:ascii="Inter" w:hAnsi="Inter"/>
          <w:b w:val="0"/>
          <w:i w:val="0"/>
          <w:color w:val="141414"/>
          <w:sz w:val="19"/>
        </w:rPr>
        <w:t xml:space="preserve"> conjunto de créditos da União não pagos no prazo, apurados e inscritos pela PGFN, tornando-se exigíveis judicialmente.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CDA (Certidão de Dívida Ativa):</w:t>
      </w:r>
      <w:r>
        <w:rPr>
          <w:rFonts w:ascii="Inter" w:hAnsi="Inter"/>
          <w:b w:val="0"/>
          <w:i w:val="0"/>
          <w:color w:val="141414"/>
          <w:sz w:val="19"/>
        </w:rPr>
        <w:t xml:space="preserve"> título executivo extrajudicial que formaliza o débito inscrito e embasa a execução fiscal. É o documento que periciamos.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Transação Tributária:</w:t>
      </w:r>
      <w:r>
        <w:rPr>
          <w:rFonts w:ascii="Inter" w:hAnsi="Inter"/>
          <w:b w:val="0"/>
          <w:i w:val="0"/>
          <w:color w:val="141414"/>
          <w:sz w:val="19"/>
        </w:rPr>
        <w:t xml:space="preserve"> acordo entre Fisco e contribuinte, por concessões mútuas, para extinguir o crédito e encerrar o litígio (CTN art. 156, III e 171; Lei 13.988/2020).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CAPAG (Capacidade de Pagamento):</w:t>
      </w:r>
      <w:r>
        <w:rPr>
          <w:rFonts w:ascii="Inter" w:hAnsi="Inter"/>
          <w:b w:val="0"/>
          <w:i w:val="0"/>
          <w:color w:val="141414"/>
          <w:sz w:val="19"/>
        </w:rPr>
        <w:t xml:space="preserve"> estimativa da PGFN de quanto o contribuinte pode pagar em 5 anos; define o direito e o teto do desconto. Presumida (CAPAG-P, automática) x Efetiva (CAPAG-E, após revisão).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PF (Prejuízo Fiscal):</w:t>
      </w:r>
      <w:r>
        <w:rPr>
          <w:rFonts w:ascii="Inter" w:hAnsi="Inter"/>
          <w:b w:val="0"/>
          <w:i w:val="0"/>
          <w:color w:val="141414"/>
          <w:sz w:val="19"/>
        </w:rPr>
        <w:t xml:space="preserve"> saldo negativo apurado na base do IRPJ, acumulável, declarado à RFB; utilizável como meio de pagamento na transação (art. 11, §7º).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BCN (Base de Cálculo Negativa da CSLL):</w:t>
      </w:r>
      <w:r>
        <w:rPr>
          <w:rFonts w:ascii="Inter" w:hAnsi="Inter"/>
          <w:b w:val="0"/>
          <w:i w:val="0"/>
          <w:color w:val="141414"/>
          <w:sz w:val="19"/>
        </w:rPr>
        <w:t xml:space="preserve"> equivalente do prejuízo fiscal na apuração da CSLL; também utilizável para quitar saldo da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SELIC:</w:t>
      </w:r>
      <w:r>
        <w:rPr>
          <w:rFonts w:ascii="Inter" w:hAnsi="Inter"/>
          <w:b w:val="0"/>
          <w:i w:val="0"/>
          <w:color w:val="141414"/>
          <w:sz w:val="19"/>
        </w:rPr>
        <w:t xml:space="preserve"> taxa básica de juros usada para atualizar débitos federais; motor do "juros sobre juros" no parcelamento comum.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SISBAJUD:</w:t>
      </w:r>
      <w:r>
        <w:rPr>
          <w:rFonts w:ascii="Inter" w:hAnsi="Inter"/>
          <w:b w:val="0"/>
          <w:i w:val="0"/>
          <w:color w:val="141414"/>
          <w:sz w:val="19"/>
        </w:rPr>
        <w:t xml:space="preserve"> Sistema de Busca de Ativos do Poder Judiciário — permite bloqueio/penhora eletrônica de contas e ativos do devedor.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CND / CPEN-D:</w:t>
      </w:r>
      <w:r>
        <w:rPr>
          <w:rFonts w:ascii="Inter" w:hAnsi="Inter"/>
          <w:b w:val="0"/>
          <w:i w:val="0"/>
          <w:color w:val="141414"/>
          <w:sz w:val="19"/>
        </w:rPr>
        <w:t xml:space="preserve"> Certidão Negativa de Débitos / Certidão Positiva com Efeitos de Negativa — comprovam regularidade fiscal; essenciais para licitação, crédito e operações societárias.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Direito creditório federal:</w:t>
      </w:r>
      <w:r>
        <w:rPr>
          <w:rFonts w:ascii="Inter" w:hAnsi="Inter"/>
          <w:b w:val="0"/>
          <w:i w:val="0"/>
          <w:color w:val="141414"/>
          <w:sz w:val="19"/>
        </w:rPr>
        <w:t xml:space="preserve"> crédito reconhecido judicialmente contra a União (categoria que inclui os precatórios), utilizável como meio de liquidação/garantia na transação.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Grau de recuperabilidade:</w:t>
      </w:r>
      <w:r>
        <w:rPr>
          <w:rFonts w:ascii="Inter" w:hAnsi="Inter"/>
          <w:b w:val="0"/>
          <w:i w:val="0"/>
          <w:color w:val="141414"/>
          <w:sz w:val="19"/>
        </w:rPr>
        <w:t xml:space="preserve"> classificação do crédito pela PGFN (de recuperável a irrecuperável) que, combinada à CAPAG, define o tamanho do desconto.</w:t>
      </w:r>
    </w:p>
    <w:p>
      <w:pPr>
        <w:pStyle w:val="Heading1"/>
      </w:pPr>
      <w:r>
        <w:t>BASE NORMATIVA CONSULTADA (verificada em Ago/2026 — reconfirmar vigência antes de negociar)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13.988/2020</w:t>
      </w:r>
      <w:r>
        <w:rPr>
          <w:rFonts w:ascii="Inter" w:hAnsi="Inter"/>
          <w:b w:val="0"/>
          <w:i w:val="0"/>
          <w:color w:val="141414"/>
          <w:sz w:val="19"/>
        </w:rPr>
        <w:t xml:space="preserve"> — Lei Geral da Transação; art. 11 e art. 11, §7º (uso de PF/BCN próprios e de controladora/controlada/controle comum).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Lei nº 14.375/2022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desconto de até 65% sobre o total (até 70% p/ categorias especiais); prazo até 120 meses (até 145 p/ especiais); autorização de PF/BCN.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Portaria PGFN nº 6.757/2022</w:t>
      </w:r>
      <w:r>
        <w:rPr>
          <w:rFonts w:ascii="Inter" w:hAnsi="Inter"/>
          <w:b w:val="0"/>
          <w:i w:val="0"/>
          <w:color w:val="141414"/>
          <w:sz w:val="19"/>
        </w:rPr>
        <w:t xml:space="preserve"> — disciplina a transação, a CAPAG, grau de recuperabilidade e modalidades; individual acima de R$ 10 mi (R$ 1 mi se garantido/suspenso); simplificada de R$ 1 mi a R$ 10 mi.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CTN, art. 156, III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 como extinção do crédito) e </w:t>
      </w:r>
      <w:r>
        <w:rPr>
          <w:rFonts w:ascii="Inter" w:hAnsi="Inter"/>
          <w:b/>
          <w:i w:val="0"/>
          <w:color w:val="010860"/>
          <w:sz w:val="19"/>
        </w:rPr>
        <w:t>art. 171</w:t>
      </w:r>
      <w:r>
        <w:rPr>
          <w:rFonts w:ascii="Inter" w:hAnsi="Inter"/>
          <w:b w:val="0"/>
          <w:i w:val="0"/>
          <w:color w:val="141414"/>
          <w:sz w:val="19"/>
        </w:rPr>
        <w:t xml:space="preserve"> (transação por concessões mútuas).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Limite de 70% do saldo pós-desconto</w:t>
      </w:r>
      <w:r>
        <w:rPr>
          <w:rFonts w:ascii="Inter" w:hAnsi="Inter"/>
          <w:b w:val="0"/>
          <w:i w:val="0"/>
          <w:color w:val="141414"/>
          <w:sz w:val="19"/>
        </w:rPr>
        <w:t xml:space="preserve"> para quitação com PF/BCN — art. 11, §7º, Lei 13.988/2020 (redação da Lei 14.375/2022); uso restrito a juros/multas/encargos de créditos irrecuperáveis/de difícil recuperação (não incide sobre o principal).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Acórdão TCU nº 2.670/2025</w:t>
      </w:r>
      <w:r>
        <w:rPr>
          <w:rFonts w:ascii="Inter" w:hAnsi="Inter"/>
          <w:b w:val="0"/>
          <w:i w:val="0"/>
          <w:color w:val="141414"/>
          <w:sz w:val="19"/>
        </w:rPr>
        <w:t xml:space="preserve"> — debate sobre limites ao uso de PF/BCN na transação.</w:t>
      </w:r>
    </w:p>
    <w:p>
      <w:r>
        <w:br w:type="page"/>
      </w:r>
    </w:p>
    <w:p>
      <w:pPr>
        <w:pStyle w:val="Heading2"/>
      </w:pPr>
      <w:r>
        <w:t>Nota de Uso &amp; Colofão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Material interno de capacitação — </w:t>
      </w:r>
      <w:r>
        <w:rPr>
          <w:rFonts w:ascii="Inter" w:hAnsi="Inter"/>
          <w:b w:val="0"/>
          <w:i w:val="0"/>
          <w:color w:val="141414"/>
          <w:sz w:val="19"/>
        </w:rPr>
        <w:t>não é peça de cliente. As versões com foco no cliente serão geradas após a validação técnica/jurídica desta.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Números são PARÂMETRO A VALIDAR (exceção: o deságio do DCF, fixo em 20%) — os demais percentuais, prazos e honorários dependem do diagnóstico e da confirmação da área técnica/comercial; nenhum foi apresentado como compromisso.</w:t>
      </w:r>
      <w:r>
        <w:rPr>
          <w:rFonts w:ascii="Inter" w:hAnsi="Inter"/>
          <w:b w:val="0"/>
          <w:i w:val="0"/>
          <w:color w:val="141414"/>
          <w:sz w:val="19"/>
        </w:rPr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 xml:space="preserve">Legislação verificada — </w:t>
      </w:r>
      <w:r>
        <w:rPr>
          <w:rFonts w:ascii="Inter" w:hAnsi="Inter"/>
          <w:b w:val="0"/>
          <w:i w:val="0"/>
          <w:color w:val="141414"/>
          <w:sz w:val="19"/>
        </w:rPr>
        <w:t>cada citação (lei, portaria, artigo constitucional) foi conferida em fonte oficial/jurídica; ainda assim, reconfirme a vigência antes de negociar, pois portarias e limites mudam.</w:t>
      </w:r>
    </w:p>
    <w:p>
      <w:pPr>
        <w:pStyle w:val="ListBullet"/>
        <w:spacing w:after="60" w:before="0"/>
      </w:pPr>
      <w:r>
        <w:rPr>
          <w:rFonts w:ascii="Inter" w:hAnsi="Inter"/>
          <w:b/>
          <w:i w:val="0"/>
          <w:color w:val="010860"/>
          <w:sz w:val="19"/>
        </w:rPr>
        <w:t>Distinção que separa produto de fraude — no DCF, o cliente só compensa DEPOIS de habilitado no polo ativo como titular de fração do crédito (cessão formal + habilitação no juízo de origem). Compensar "crédito de terceiro" sem habilitação é a prática irregular contra a qual a RFB alerta — nunca confundir as duas na frente do cliente.</w:t>
      </w:r>
      <w:r>
        <w:rPr>
          <w:rFonts w:ascii="Inter" w:hAnsi="Inter"/>
          <w:b w:val="0"/>
          <w:i w:val="0"/>
          <w:color w:val="141414"/>
          <w:sz w:val="19"/>
        </w:rPr>
      </w:r>
    </w:p>
    <w:p>
      <w:pPr>
        <w:spacing w:after="120" w:before="0"/>
      </w:pPr>
      <w:r>
        <w:rPr>
          <w:rFonts w:ascii="Inter" w:hAnsi="Inter"/>
          <w:b/>
          <w:i w:val="0"/>
          <w:color w:val="010860"/>
          <w:sz w:val="18"/>
        </w:rPr>
        <w:t xml:space="preserve">Identidade visual: </w:t>
      </w:r>
      <w:r>
        <w:rPr>
          <w:rFonts w:ascii="Inter" w:hAnsi="Inter"/>
          <w:b w:val="0"/>
          <w:i w:val="0"/>
          <w:color w:val="5A5A5A"/>
          <w:sz w:val="18"/>
        </w:rPr>
        <w:t>marca Lucro Ativo — azul institucional #010860, Montserrat (títulos) e Inter (texto), conforme Manual da Marca. Conteúdo redigido e verificado pela consultoria (René), Setembro de 2026 · versão 1.3 para validação.</w:t>
      </w:r>
    </w:p>
    <w:sectPr w:rsidR="00FC693F" w:rsidRPr="0006063C" w:rsidSect="00034616">
      <w:headerReference w:type="default" r:id="rId10"/>
      <w:footerReference w:type="default" r:id="rId11"/>
      <w:pgSz w:w="11906" w:h="16838"/>
      <w:pgMar w:top="1134" w:right="1134" w:bottom="1020" w:left="113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decimal"/>
      </w:tabs>
      <w:pBdr>
        <w:top w:val="single" w:sz="6" w:space="6" w:color="D8DBEC"/>
      </w:pBdr>
    </w:pPr>
    <w:r/>
    <w:r>
      <w:rPr>
        <w:rFonts w:ascii="Inter" w:hAnsi="Inter"/>
        <w:color w:val="5A5A5A"/>
        <w:sz w:val="15"/>
      </w:rPr>
      <w:t>Lucro Ativo · FAQ de Capacitação Comercial (v1.3) · Uso Interno</w:t>
    </w:r>
    <w:r>
      <w:t xml:space="preserve"> · </w:t>
    </w:r>
    <w:r>
      <w:rPr>
        <w:rFonts w:ascii="Inter" w:hAnsi="Inter"/>
        <w:color w:val="5A5A5A"/>
        <w:sz w:val="15"/>
      </w:rPr>
      <w:t xml:space="preserve">Confidencial · pág. </w:t>
    </w: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C6A15B"/>
      </w:pBdr>
    </w:pPr>
    <w:r/>
    <w:r>
      <w:drawing>
        <wp:inline xmlns:a="http://schemas.openxmlformats.org/drawingml/2006/main" xmlns:pic="http://schemas.openxmlformats.org/drawingml/2006/picture">
          <wp:extent cx="1224000" cy="275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nav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00" cy="2754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Inter" w:hAnsi="Inter" w:cs="Inter"/>
      <w:b w:val="0"/>
      <w:color w:val="1414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Montserrat" w:hAnsi="Montserrat" w:cs="Montserrat"/>
      <w:b/>
      <w:bCs/>
      <w:color w:val="01086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Montserrat" w:hAnsi="Montserrat" w:cs="Montserrat"/>
      <w:b/>
      <w:bCs/>
      <w:i/>
      <w:iCs/>
      <w:color w:val="2028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2.xml"/><Relationship Id="rId16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