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sd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340" w:footer="340" w:gutter="0"/>
          <w:cols w:space="720"/>
          <w:docGrid w:linePitch="360"/>
        </w:sectPr>
      </w:pPr>
    </w:p>
    <w:p>
      <w:pPr>
        <w:pStyle w:val="Heading2"/>
      </w:pPr>
      <w:r>
        <w:t>Ficha do Documento &amp; Nota de Incorporação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 xml:space="preserve">Carta de Área da </w:t>
      </w:r>
      <w:r>
        <w:rPr>
          <w:rFonts w:ascii="Inter" w:hAnsi="Inter"/>
          <w:b/>
          <w:i w:val="0"/>
          <w:color w:val="010860"/>
          <w:sz w:val="21"/>
        </w:rPr>
        <w:t>Gestão de Parcerias (Canal Indireto — Indicadores)</w:t>
      </w:r>
      <w:r>
        <w:rPr>
          <w:rFonts w:ascii="Inter" w:hAnsi="Inter"/>
          <w:b w:val="0"/>
          <w:i w:val="0"/>
          <w:color w:val="141414"/>
          <w:sz w:val="21"/>
        </w:rPr>
        <w:t xml:space="preserve">, produzida no esqueleto-padrão de 8 seções do Modelo de Documento de Área &amp; Playbook v1.0, a partir das premissas definidas pelo CEO (30/08/2026), do Planejamento Lucro Ativo v2 (Seção 11 — Plano Ulisses e Anexo A) e da auditoria dos contratos de parceria no Drive (20/08/2026). </w:t>
      </w:r>
      <w:r>
        <w:rPr>
          <w:rFonts w:ascii="Inter" w:hAnsi="Inter"/>
          <w:b/>
          <w:i w:val="0"/>
          <w:color w:val="141414"/>
          <w:sz w:val="21"/>
        </w:rPr>
        <w:t>Minuta autônoma para validação da Diretoria</w:t>
      </w:r>
      <w:r>
        <w:rPr>
          <w:rFonts w:ascii="Inter" w:hAnsi="Inter"/>
          <w:b w:val="0"/>
          <w:i w:val="0"/>
          <w:color w:val="141414"/>
          <w:sz w:val="21"/>
        </w:rPr>
        <w:t xml:space="preserve"> — será incorporada ao Documento Mestre após aprovação (ver Anexo B).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CCE3"/>
          <w:left w:val="single" w:sz="4" w:space="0" w:color="C9CCE3"/>
          <w:bottom w:val="single" w:sz="4" w:space="0" w:color="C9CCE3"/>
          <w:right w:val="single" w:sz="4" w:space="0" w:color="C9CCE3"/>
          <w:insideH w:val="single" w:sz="4" w:space="0" w:color="C9CCE3"/>
          <w:insideV w:val="single" w:sz="4" w:space="0" w:color="C9CCE3"/>
        </w:tblBorders>
      </w:tblPr>
      <w:tblGrid>
        <w:gridCol w:w="4819"/>
        <w:gridCol w:w="4819"/>
      </w:tblGrid>
      <w:tr>
        <w:tc>
          <w:tcPr>
            <w:tcW w:type="dxa" w:w="2608"/>
            <w:shd w:val="clear" w:fill="F5F6FC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010860"/>
                <w:sz w:val="18"/>
              </w:rPr>
              <w:t>Documento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Carta de Área &amp; Playbook Operacional — Gestão de Parcerias (v1.0)</w:t>
            </w:r>
          </w:p>
        </w:tc>
      </w:tr>
      <w:tr>
        <w:tc>
          <w:tcPr>
            <w:tcW w:type="dxa" w:w="2608"/>
            <w:shd w:val="clear" w:fill="F5F6FC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010860"/>
                <w:sz w:val="18"/>
              </w:rPr>
              <w:t>Área / Pilar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Coordenação de Parcerias — pilar Comercial (CCO &amp; CSO)</w:t>
            </w:r>
          </w:p>
        </w:tc>
      </w:tr>
      <w:tr>
        <w:tc>
          <w:tcPr>
            <w:tcW w:type="dxa" w:w="2608"/>
            <w:shd w:val="clear" w:fill="F5F6FC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010860"/>
                <w:sz w:val="18"/>
              </w:rPr>
              <w:t>Responsável pela área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Ulisses — Coordenador de Parcerias (reporte ao CCO &amp; CSO Cleber Candia)</w:t>
            </w:r>
          </w:p>
        </w:tc>
      </w:tr>
      <w:tr>
        <w:tc>
          <w:tcPr>
            <w:tcW w:type="dxa" w:w="2608"/>
            <w:shd w:val="clear" w:fill="F5F6FC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010860"/>
                <w:sz w:val="18"/>
              </w:rPr>
              <w:t>Aprovação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Cleber Candia (CCO &amp; CSO) e Dr. Lucas Santos (Sponsor / CEO)</w:t>
            </w:r>
          </w:p>
        </w:tc>
      </w:tr>
      <w:tr>
        <w:tc>
          <w:tcPr>
            <w:tcW w:type="dxa" w:w="2608"/>
            <w:shd w:val="clear" w:fill="F5F6FC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010860"/>
                <w:sz w:val="18"/>
              </w:rPr>
              <w:t>Status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Versão 1.0 — minuta para validação · NÃO incorporada ao Documento Mestre</w:t>
            </w:r>
          </w:p>
        </w:tc>
      </w:tr>
      <w:tr>
        <w:tc>
          <w:tcPr>
            <w:tcW w:type="dxa" w:w="2608"/>
            <w:shd w:val="clear" w:fill="F5F6FC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010860"/>
                <w:sz w:val="18"/>
              </w:rPr>
              <w:t>Documentos-base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Planejamento Lucro Ativo v2 · Padrão de Documento de Área &amp; Playbook v1.0 · premissas do CEO (30/08/2026) · Controle de Parcerias LA+GS (82 parceiros, 20/08/2026)</w:t>
            </w:r>
          </w:p>
        </w:tc>
      </w:tr>
      <w:tr>
        <w:tc>
          <w:tcPr>
            <w:tcW w:type="dxa" w:w="2608"/>
            <w:shd w:val="clear" w:fill="F5F6FC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010860"/>
                <w:sz w:val="18"/>
              </w:rPr>
              <w:t>Revisão programada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Fevereiro de 2027 (ciclo-padrão de 6 meses)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t>Sumário Executivo (C-Level)</w:t>
      </w:r>
    </w:p>
    <w:p>
      <w:pPr>
        <w:spacing w:after="160" w:before="40"/>
      </w:pPr>
      <w:r>
        <w:rPr>
          <w:rFonts w:ascii="Montserrat" w:hAnsi="Montserrat"/>
          <w:b/>
          <w:i w:val="0"/>
          <w:color w:val="010860"/>
          <w:sz w:val="19"/>
        </w:rPr>
        <w:t>LEITURA ESTRATÉGICA · COMO MENTOR DE NEGÓCIOS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 xml:space="preserve">O desenho pedido pela gestão está </w:t>
      </w:r>
      <w:r>
        <w:rPr>
          <w:rFonts w:ascii="Inter" w:hAnsi="Inter"/>
          <w:b/>
          <w:i w:val="0"/>
          <w:color w:val="141414"/>
          <w:sz w:val="21"/>
        </w:rPr>
        <w:t>conceitualmente correto e maduro</w:t>
      </w:r>
      <w:r>
        <w:rPr>
          <w:rFonts w:ascii="Inter" w:hAnsi="Inter"/>
          <w:b w:val="0"/>
          <w:i w:val="0"/>
          <w:color w:val="141414"/>
          <w:sz w:val="21"/>
        </w:rPr>
        <w:t xml:space="preserve">: parceiro como </w:t>
      </w:r>
      <w:r>
        <w:rPr>
          <w:rFonts w:ascii="Inter" w:hAnsi="Inter"/>
          <w:b/>
          <w:i w:val="0"/>
          <w:color w:val="010860"/>
          <w:sz w:val="21"/>
        </w:rPr>
        <w:t>meio de venda</w:t>
      </w:r>
      <w:r>
        <w:rPr>
          <w:rFonts w:ascii="Inter" w:hAnsi="Inter"/>
          <w:b w:val="0"/>
          <w:i w:val="0"/>
          <w:color w:val="141414"/>
          <w:sz w:val="21"/>
        </w:rPr>
        <w:t xml:space="preserve"> (abre a porta, valida e acompanha) e a </w:t>
      </w:r>
      <w:r>
        <w:rPr>
          <w:rFonts w:ascii="Inter" w:hAnsi="Inter"/>
          <w:b/>
          <w:i w:val="0"/>
          <w:color w:val="010860"/>
          <w:sz w:val="21"/>
        </w:rPr>
        <w:t>ação comercial 100% com a equipe Lucro Ativo</w:t>
      </w:r>
      <w:r>
        <w:rPr>
          <w:rFonts w:ascii="Inter" w:hAnsi="Inter"/>
          <w:b w:val="0"/>
          <w:i w:val="0"/>
          <w:color w:val="141414"/>
          <w:sz w:val="21"/>
        </w:rPr>
        <w:t xml:space="preserve">. É o modelo que protege a taxa de fechamento, a experiência do cliente e o compliance — e conversa direto com a Regra de Ouro já fixada no Planejamento v2. O canal tem lastro real: </w:t>
      </w:r>
      <w:r>
        <w:rPr>
          <w:rFonts w:ascii="Inter" w:hAnsi="Inter"/>
          <w:b/>
          <w:i w:val="0"/>
          <w:color w:val="141414"/>
          <w:sz w:val="21"/>
        </w:rPr>
        <w:t>82 parceiros já mapeados em contrato</w:t>
      </w:r>
      <w:r>
        <w:rPr>
          <w:rFonts w:ascii="Inter" w:hAnsi="Inter"/>
          <w:b w:val="0"/>
          <w:i w:val="0"/>
          <w:color w:val="141414"/>
          <w:sz w:val="21"/>
        </w:rPr>
        <w:t xml:space="preserve"> (57 assinados), a maioria hoje inativa ou em stand-by — ou seja, a meta de 100+ ativos é, antes de tudo, uma </w:t>
      </w:r>
      <w:r>
        <w:rPr>
          <w:rFonts w:ascii="Inter" w:hAnsi="Inter"/>
          <w:b/>
          <w:i w:val="0"/>
          <w:color w:val="141414"/>
          <w:sz w:val="21"/>
        </w:rPr>
        <w:t>operação de reativação</w:t>
      </w:r>
      <w:r>
        <w:rPr>
          <w:rFonts w:ascii="Inter" w:hAnsi="Inter"/>
          <w:b w:val="0"/>
          <w:i w:val="0"/>
          <w:color w:val="141414"/>
          <w:sz w:val="21"/>
        </w:rPr>
        <w:t>, não só de captação.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 xml:space="preserve">Como mentor, três alertas definem se este playbook sai do papel: </w:t>
      </w:r>
      <w:r>
        <w:rPr>
          <w:rFonts w:ascii="Inter" w:hAnsi="Inter"/>
          <w:b/>
          <w:i w:val="0"/>
          <w:color w:val="141414"/>
          <w:sz w:val="21"/>
        </w:rPr>
        <w:t>(1) a matemática da cadência</w:t>
      </w:r>
      <w:r>
        <w:rPr>
          <w:rFonts w:ascii="Inter" w:hAnsi="Inter"/>
          <w:b w:val="0"/>
          <w:i w:val="0"/>
          <w:color w:val="141414"/>
          <w:sz w:val="21"/>
        </w:rPr>
        <w:t xml:space="preserve"> — contato efetivo quinzenal com 100+ parceiros dá ±10 contatos/dia úteis para um único coordenador; sem régua por tier (A quinzenal · B mensal · C automatizado), a promessa quebra no primeiro mês; </w:t>
      </w:r>
      <w:r>
        <w:rPr>
          <w:rFonts w:ascii="Inter" w:hAnsi="Inter"/>
          <w:b/>
          <w:i w:val="0"/>
          <w:color w:val="141414"/>
          <w:sz w:val="21"/>
        </w:rPr>
        <w:t>(2) a definição de 'parceiro ativo'</w:t>
      </w:r>
      <w:r>
        <w:rPr>
          <w:rFonts w:ascii="Inter" w:hAnsi="Inter"/>
          <w:b w:val="0"/>
          <w:i w:val="0"/>
          <w:color w:val="141414"/>
          <w:sz w:val="21"/>
        </w:rPr>
        <w:t xml:space="preserve"> — sem régua objetiva de atividade, a meta de 100+ vira contagem de contratos assinados, não de parceiros produzindo; </w:t>
      </w:r>
      <w:r>
        <w:rPr>
          <w:rFonts w:ascii="Inter" w:hAnsi="Inter"/>
          <w:b/>
          <w:i w:val="0"/>
          <w:color w:val="141414"/>
          <w:sz w:val="21"/>
        </w:rPr>
        <w:t>(3) o modelo de remuneração dos escritórios jurídicos</w:t>
      </w:r>
      <w:r>
        <w:rPr>
          <w:rFonts w:ascii="Inter" w:hAnsi="Inter"/>
          <w:b w:val="0"/>
          <w:i w:val="0"/>
          <w:color w:val="141414"/>
          <w:sz w:val="21"/>
        </w:rPr>
        <w:t xml:space="preserve"> — indicação remunerada por advogados esbarra no Código de Ética da OAB e precisa passar pelo CLO antes de qualquer credenciamento desse perfil.</w:t>
      </w:r>
    </w:p>
    <w:p>
      <w:pPr>
        <w:spacing w:after="120" w:before="0"/>
      </w:pPr>
      <w:r>
        <w:rPr>
          <w:rFonts w:ascii="Inter" w:hAnsi="Inter"/>
          <w:b/>
          <w:i w:val="0"/>
          <w:color w:val="141414"/>
          <w:sz w:val="21"/>
        </w:rPr>
        <w:t>Recomendação de sequência:</w:t>
      </w:r>
      <w:r>
        <w:rPr>
          <w:rFonts w:ascii="Inter" w:hAnsi="Inter"/>
          <w:b w:val="0"/>
          <w:i w:val="0"/>
          <w:color w:val="141414"/>
          <w:sz w:val="21"/>
        </w:rPr>
        <w:t xml:space="preserve"> (i) instaurar a base — cadastrar os 82 parceiros no Twenty (objeto 'parcerias') com status e tier; (ii) ativar a régua de relacionamento por tier e o plano conjunto nos 20 primeiros (Tier A); (iii) só então acelerar captação de novos — credenciar sem capacidade de gestão fabrica parceiro inativo, que é exatamente o problema que estamos corrigindo.</w:t>
      </w:r>
    </w:p>
    <w:p>
      <w:pPr>
        <w:spacing w:after="120" w:before="0"/>
      </w:pPr>
    </w:p>
    <w:p>
      <w:pPr>
        <w:spacing w:after="160" w:before="40"/>
      </w:pPr>
      <w:r>
        <w:rPr>
          <w:rFonts w:ascii="Montserrat" w:hAnsi="Montserrat"/>
          <w:b/>
          <w:i w:val="0"/>
          <w:color w:val="010860"/>
          <w:sz w:val="19"/>
        </w:rPr>
        <w:t>COMO LER ESTE DOCUMENTO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Esqueleto de 8 seções</w:t>
      </w:r>
      <w:r>
        <w:rPr>
          <w:rFonts w:ascii="Inter" w:hAnsi="Inter"/>
          <w:b w:val="0"/>
          <w:i w:val="0"/>
          <w:color w:val="141414"/>
          <w:sz w:val="21"/>
        </w:rPr>
        <w:t xml:space="preserve"> — mesma ordem e títulos-padrão de toda Carta de Área da Lucro Ativo, para leitura comparável entre áreas.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Notas do Mentor [Nº]</w:t>
      </w:r>
      <w:r>
        <w:rPr>
          <w:rFonts w:ascii="Inter" w:hAnsi="Inter"/>
          <w:b w:val="0"/>
          <w:i w:val="0"/>
          <w:color w:val="141414"/>
          <w:sz w:val="21"/>
        </w:rPr>
        <w:t xml:space="preserve"> — classificadas em CRÍTICO / ATENÇÃO / CONTROLE / ESTRATÉGICO, concentradas na Seção 7 com painel no Anexo A.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Blocos PROPOSTA (dourado)</w:t>
      </w:r>
      <w:r>
        <w:rPr>
          <w:rFonts w:ascii="Inter" w:hAnsi="Inter"/>
          <w:b w:val="0"/>
          <w:i w:val="0"/>
          <w:color w:val="141414"/>
          <w:sz w:val="21"/>
        </w:rPr>
        <w:t xml:space="preserve"> — sugestões da consultoria que exigem validação da Diretoria antes de virarem regra.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Números</w:t>
      </w:r>
      <w:r>
        <w:rPr>
          <w:rFonts w:ascii="Inter" w:hAnsi="Inter"/>
          <w:b w:val="0"/>
          <w:i w:val="0"/>
          <w:color w:val="141414"/>
          <w:sz w:val="21"/>
        </w:rPr>
        <w:t xml:space="preserve"> — nenhum foi inventado: os dados vêm do Planejamento v2, da auditoria de contratos (20/08/2026) e das premissas do CEO; metas e faixas novas estão marcadas como PARÂMETRO A VALIDAR.</w:t>
      </w:r>
    </w:p>
    <w:p>
      <w:pPr>
        <w:spacing w:after="120" w:before="0"/>
      </w:pPr>
    </w:p>
    <w:p>
      <w:pPr>
        <w:pStyle w:val="Heading1"/>
      </w:pPr>
      <w:r>
        <w:t>Sumário Geral</w:t>
      </w:r>
    </w:p>
    <w:p>
      <w:pPr>
        <w:spacing w:after="120" w:before="0"/>
      </w:pPr>
      <w:fldSimple w:instr="TOC \o &quot;1-3&quot; \h \z \u">
        <w:r>
          <w:t>Sumário — no Word, clique com o botão direito e escolha 'Atualizar campo'.</w:t>
        </w:r>
      </w:fldSimple>
    </w:p>
    <w:p>
      <w:pPr>
        <w:spacing w:after="0" w:before="0"/>
      </w:pPr>
      <w:r>
        <w:br w:type="page"/>
      </w:r>
    </w:p>
    <w:p>
      <w:pPr>
        <w:pStyle w:val="Heading1"/>
      </w:pPr>
      <w:r>
        <w:t>Seção 1 — Identidade &amp; Propósito</w:t>
      </w:r>
    </w:p>
    <w:p>
      <w:pPr>
        <w:spacing w:after="160" w:before="40"/>
      </w:pPr>
      <w:r>
        <w:rPr>
          <w:rFonts w:ascii="Montserrat" w:hAnsi="Montserrat"/>
          <w:b/>
          <w:i w:val="0"/>
          <w:color w:val="010860"/>
          <w:sz w:val="19"/>
        </w:rPr>
        <w:t>O CANAL QUE MULTIPLICA PORTAS · NÃO UM SEGUNDO TIME DE VENDAS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 xml:space="preserve">A </w:t>
      </w:r>
      <w:r>
        <w:rPr>
          <w:rFonts w:ascii="Inter" w:hAnsi="Inter"/>
          <w:b/>
          <w:i w:val="0"/>
          <w:color w:val="010860"/>
          <w:sz w:val="21"/>
        </w:rPr>
        <w:t>Gestão de Parcerias</w:t>
      </w:r>
      <w:r>
        <w:rPr>
          <w:rFonts w:ascii="Inter" w:hAnsi="Inter"/>
          <w:b w:val="0"/>
          <w:i w:val="0"/>
          <w:color w:val="141414"/>
          <w:sz w:val="21"/>
        </w:rPr>
        <w:t xml:space="preserve"> é o canal indireto da operação comercial da Lucro Ativo. Ela transforma carteiras de terceiros — contabilidades, escritórios jurídicos não-tributários e consultorias de negócios — em </w:t>
      </w:r>
      <w:r>
        <w:rPr>
          <w:rFonts w:ascii="Inter" w:hAnsi="Inter"/>
          <w:b/>
          <w:i w:val="0"/>
          <w:color w:val="141414"/>
          <w:sz w:val="21"/>
        </w:rPr>
        <w:t>portas qualificadas</w:t>
      </w:r>
      <w:r>
        <w:rPr>
          <w:rFonts w:ascii="Inter" w:hAnsi="Inter"/>
          <w:b w:val="0"/>
          <w:i w:val="0"/>
          <w:color w:val="141414"/>
          <w:sz w:val="21"/>
        </w:rPr>
        <w:t xml:space="preserve"> para a venda executiva da LA e do ecossistema Grupo Studio. O parceiro é </w:t>
      </w:r>
      <w:r>
        <w:rPr>
          <w:rFonts w:ascii="Inter" w:hAnsi="Inter"/>
          <w:b/>
          <w:i w:val="0"/>
          <w:color w:val="010860"/>
          <w:sz w:val="21"/>
        </w:rPr>
        <w:t>indicador</w:t>
      </w:r>
      <w:r>
        <w:rPr>
          <w:rFonts w:ascii="Inter" w:hAnsi="Inter"/>
          <w:b w:val="0"/>
          <w:i w:val="0"/>
          <w:color w:val="141414"/>
          <w:sz w:val="21"/>
        </w:rPr>
        <w:t>: tem relação de confiança com o cliente e carteira ativa no perfil buscado (Lucro Real e Presumido); a Lucro Ativo entra com a expertise, o produto e a condução comercial integral.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AFC7DE"/>
          <w:left w:val="single" w:sz="6" w:space="0" w:color="AFC7DE"/>
          <w:bottom w:val="single" w:sz="6" w:space="0" w:color="AFC7DE"/>
          <w:right w:val="single" w:sz="6" w:space="0" w:color="AFC7DE"/>
          <w:insideH w:val="single" w:sz="6" w:space="0" w:color="AFC7DE"/>
          <w:insideV w:val="single" w:sz="6" w:space="0" w:color="AFC7DE"/>
        </w:tblBorders>
      </w:tblPr>
      <w:tblGrid>
        <w:gridCol w:w="9638"/>
      </w:tblGrid>
      <w:tr>
        <w:tc>
          <w:tcPr>
            <w:tcW w:type="dxa" w:w="9638"/>
            <w:shd w:val="clear" w:fill="EAF2F8"/>
          </w:tcPr>
          <w:p>
            <w:pPr>
              <w:spacing w:after="80" w:before="40"/>
            </w:pPr>
            <w:r>
              <w:rPr>
                <w:rFonts w:ascii="Montserrat" w:hAnsi="Montserrat"/>
                <w:b/>
                <w:i w:val="0"/>
                <w:color w:val="010860"/>
                <w:sz w:val="20"/>
              </w:rPr>
              <w:t>⬧ Missão da Gestão de Parcerias</w:t>
            </w:r>
          </w:p>
          <w:p>
            <w:pPr>
              <w:spacing w:after="60"/>
            </w:pP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Construir e gerir uma rede de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100+ parceiros efetivamente ativos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>, que abre as portas das suas carteiras para a venda executiva da Lucro Ativo — com credenciamento formal, carteira mapeada, plano de atuação conjunto e acompanhamento transparente via dashboard, sem jamais transferir ao parceiro a condução da venda.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>O que a Gestão de Parcerias É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Canal indireto de originação</w:t>
      </w:r>
      <w:r>
        <w:rPr>
          <w:rFonts w:ascii="Inter" w:hAnsi="Inter"/>
          <w:b w:val="0"/>
          <w:i w:val="0"/>
          <w:color w:val="141414"/>
          <w:sz w:val="21"/>
        </w:rPr>
        <w:t xml:space="preserve"> — indicações qualificadas vindas de carteiras já estabelecidas, com custo de aquisição menor e confiança herdada do parceiro.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Gestão de relacionamento B2B</w:t>
      </w:r>
      <w:r>
        <w:rPr>
          <w:rFonts w:ascii="Inter" w:hAnsi="Inter"/>
          <w:b w:val="0"/>
          <w:i w:val="0"/>
          <w:color w:val="141414"/>
          <w:sz w:val="21"/>
        </w:rPr>
        <w:t xml:space="preserve"> — captação, credenciamento, mapeamento de carteira, plano conjunto e rotina programada de contato com cada parceiro.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Extensão de portfólio para o parceiro</w:t>
      </w:r>
      <w:r>
        <w:rPr>
          <w:rFonts w:ascii="Inter" w:hAnsi="Inter"/>
          <w:b w:val="0"/>
          <w:i w:val="0"/>
          <w:color w:val="141414"/>
          <w:sz w:val="21"/>
        </w:rPr>
        <w:t xml:space="preserve"> — o parceiro agrega soluções tributárias e do ecossistema GS à sua base, sem custo fixo nem risco operacional.</w:t>
      </w:r>
    </w:p>
    <w:p>
      <w:pPr>
        <w:pStyle w:val="Heading3"/>
      </w:pPr>
      <w:r>
        <w:t>O que a Gestão de Parcerias NÃO é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141414"/>
          <w:sz w:val="21"/>
        </w:rPr>
        <w:t>Não é braço de venda</w:t>
      </w:r>
      <w:r>
        <w:rPr>
          <w:rFonts w:ascii="Inter" w:hAnsi="Inter"/>
          <w:b w:val="0"/>
          <w:i w:val="0"/>
          <w:color w:val="141414"/>
          <w:sz w:val="21"/>
        </w:rPr>
        <w:t xml:space="preserve"> — o parceiro não conduz reunião comercial, não negocia e não fecha: ele abre a porta, valida a oportunidade e acompanha. A ação comercial junto ao cliente é 100% da equipe LA.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141414"/>
          <w:sz w:val="21"/>
        </w:rPr>
        <w:t>Não é Executivo de Vendas nem Parceiro de Vendas</w:t>
      </w:r>
      <w:r>
        <w:rPr>
          <w:rFonts w:ascii="Inter" w:hAnsi="Inter"/>
          <w:b w:val="0"/>
          <w:i w:val="0"/>
          <w:color w:val="141414"/>
          <w:sz w:val="21"/>
        </w:rPr>
        <w:t xml:space="preserve"> — a Lucro Ativo também possui esses perfis, mas eles pertencem a outro canal: vendem e conduzem negociação. O parceiro desta área é </w:t>
      </w:r>
      <w:r>
        <w:rPr>
          <w:rFonts w:ascii="Inter" w:hAnsi="Inter"/>
          <w:b/>
          <w:i w:val="0"/>
          <w:color w:val="141414"/>
          <w:sz w:val="21"/>
        </w:rPr>
        <w:t>indicador</w:t>
      </w:r>
      <w:r>
        <w:rPr>
          <w:rFonts w:ascii="Inter" w:hAnsi="Inter"/>
          <w:b w:val="0"/>
          <w:i w:val="0"/>
          <w:color w:val="141414"/>
          <w:sz w:val="21"/>
        </w:rPr>
        <w:t xml:space="preserve"> — figura distinta em papel, contrato e remuneração. </w:t>
      </w:r>
      <w:r>
        <w:rPr>
          <w:rFonts w:ascii="Inter" w:hAnsi="Inter"/>
          <w:b/>
          <w:i w:val="0"/>
          <w:color w:val="010860"/>
          <w:sz w:val="21"/>
        </w:rPr>
        <w:t>Este material trata exclusivamente da parceria de INDICAÇÃO; a parceria de VENDAS é disciplinada no Playbook Comercial (área de Vendas), que receberá os ajustes próprios.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141414"/>
          <w:sz w:val="21"/>
        </w:rPr>
        <w:t>Não é canal de revenda / franquia</w:t>
      </w:r>
      <w:r>
        <w:rPr>
          <w:rFonts w:ascii="Inter" w:hAnsi="Inter"/>
          <w:b w:val="0"/>
          <w:i w:val="0"/>
          <w:color w:val="141414"/>
          <w:sz w:val="21"/>
        </w:rPr>
        <w:t xml:space="preserve"> — o parceiro não 'compra para revender' nem opera produto; pedidos de centralização da ação pelo parceiro são exceção formal (Seção 6.9), não modalidade.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141414"/>
          <w:sz w:val="21"/>
        </w:rPr>
        <w:t>Não é a relação com fornecedores</w:t>
      </w:r>
      <w:r>
        <w:rPr>
          <w:rFonts w:ascii="Inter" w:hAnsi="Inter"/>
          <w:b w:val="0"/>
          <w:i w:val="0"/>
          <w:color w:val="141414"/>
          <w:sz w:val="21"/>
        </w:rPr>
        <w:t xml:space="preserve"> — o Grupo Studio é fornecedor de soluções (contrato de franquia próprio); parceiros-indicadores são outra figura jurídica e comercial.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141414"/>
          <w:sz w:val="21"/>
        </w:rPr>
        <w:t>Não é geração de leads digital</w:t>
      </w:r>
      <w:r>
        <w:rPr>
          <w:rFonts w:ascii="Inter" w:hAnsi="Inter"/>
          <w:b w:val="0"/>
          <w:i w:val="0"/>
          <w:color w:val="141414"/>
          <w:sz w:val="21"/>
        </w:rPr>
        <w:t xml:space="preserve"> — tráfego pago e SDR (Bruno Marinho / Shark Growth) são o canal direto; a fronteira de origem entre os dois canais está na Seção 4.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2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pape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Inter" w:hAnsi="Inter"/>
          <w:b w:val="0"/>
          <w:i/>
          <w:color w:val="5A5A5A"/>
          <w:sz w:val="17"/>
        </w:rPr>
        <w:t>Divisão de papéis: o parceiro abre, valida e acompanha; a equipe Lucro Ativo conduz 100% da ação comercial.</w:t>
      </w:r>
    </w:p>
    <w:p>
      <w:pPr>
        <w:pStyle w:val="Heading1"/>
      </w:pPr>
      <w:r>
        <w:t>Seção 2 — Escopo &amp; Responsabilidades</w:t>
      </w:r>
    </w:p>
    <w:p>
      <w:pPr>
        <w:pStyle w:val="Heading3"/>
      </w:pPr>
      <w:r>
        <w:t>Responsabilidades da área (premissas da gestão)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Captar novos parceiros</w:t>
      </w:r>
      <w:r>
        <w:rPr>
          <w:rFonts w:ascii="Inter" w:hAnsi="Inter"/>
          <w:b w:val="0"/>
          <w:i w:val="0"/>
          <w:color w:val="141414"/>
          <w:sz w:val="21"/>
        </w:rPr>
        <w:t xml:space="preserve"> — abordagem C-level em contabilidades, escritórios jurídicos (sem área tributária) e consultorias de negócios com carteira ativa no perfil LA+GS.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Apresentar o plano de trabalho</w:t>
      </w:r>
      <w:r>
        <w:rPr>
          <w:rFonts w:ascii="Inter" w:hAnsi="Inter"/>
          <w:b w:val="0"/>
          <w:i w:val="0"/>
          <w:color w:val="141414"/>
          <w:sz w:val="21"/>
        </w:rPr>
        <w:t xml:space="preserve"> — proposta institucional padronizada: modelo de parceria, papéis, remuneração e a régua de relacionamento.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Mapear a carteira do parceiro</w:t>
      </w:r>
      <w:r>
        <w:rPr>
          <w:rFonts w:ascii="Inter" w:hAnsi="Inter"/>
          <w:b w:val="0"/>
          <w:i w:val="0"/>
          <w:color w:val="141414"/>
          <w:sz w:val="21"/>
        </w:rPr>
        <w:t xml:space="preserve"> — levantamento estruturado da base de clientes (porte, regime, segmento) e seleção de contas-alvo pelo ICP.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Elaborar o plano de atuação conjunto</w:t>
      </w:r>
      <w:r>
        <w:rPr>
          <w:rFonts w:ascii="Inter" w:hAnsi="Inter"/>
          <w:b w:val="0"/>
          <w:i w:val="0"/>
          <w:color w:val="141414"/>
          <w:sz w:val="21"/>
        </w:rPr>
        <w:t xml:space="preserve"> — estratégia por conta, agenda de aberturas e metas do ciclo, conforme a premissa de trabalho da LA (parceiro indica, LA conduz).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Gerir o relacionamento de forma proativa</w:t>
      </w:r>
      <w:r>
        <w:rPr>
          <w:rFonts w:ascii="Inter" w:hAnsi="Inter"/>
          <w:b w:val="0"/>
          <w:i w:val="0"/>
          <w:color w:val="141414"/>
          <w:sz w:val="21"/>
        </w:rPr>
        <w:t xml:space="preserve"> — contato efetivo programado com todos os parceiros (régua por tier — Seção 6.7), além das ações de marketing e envio de informações.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Acompanhar as oportunidades</w:t>
      </w:r>
      <w:r>
        <w:rPr>
          <w:rFonts w:ascii="Inter" w:hAnsi="Inter"/>
          <w:b w:val="0"/>
          <w:i w:val="0"/>
          <w:color w:val="141414"/>
          <w:sz w:val="21"/>
        </w:rPr>
        <w:t xml:space="preserve"> — passo a passo da venda via dashboard no Twenty, junto com o parceiro e a área de Vendas.</w:t>
      </w:r>
    </w:p>
    <w:p>
      <w:pPr>
        <w:pStyle w:val="Heading3"/>
      </w:pPr>
      <w:r>
        <w:t>Perfis de parceiro (ICP do canal)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CE3"/>
          <w:left w:val="single" w:sz="4" w:space="0" w:color="C9CCE3"/>
          <w:bottom w:val="single" w:sz="4" w:space="0" w:color="C9CCE3"/>
          <w:right w:val="single" w:sz="4" w:space="0" w:color="C9CCE3"/>
          <w:insideH w:val="single" w:sz="4" w:space="0" w:color="C9CCE3"/>
          <w:insideV w:val="single" w:sz="4" w:space="0" w:color="C9CCE3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2835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8"/>
              </w:rPr>
              <w:t>Característica-alvo</w:t>
            </w:r>
          </w:p>
        </w:tc>
        <w:tc>
          <w:tcPr>
            <w:tcW w:type="dxa" w:w="3402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8"/>
              </w:rPr>
              <w:t>Mote de atração</w:t>
            </w:r>
          </w:p>
        </w:tc>
        <w:tc>
          <w:tcPr>
            <w:tcW w:type="dxa" w:w="1474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Contabilidades &amp; BPOs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Escritórios contábeis de médio/grande porte e BPOs financeiros com carteira Lucro Real/Presumido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Extensão do portfólio (Reforma, ICMS, DCF, Energia) sem custo fixo ou risco operacional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Foco principal</w:t>
            </w:r>
          </w:p>
        </w:tc>
      </w:tr>
      <w:tr>
        <w:tc>
          <w:tcPr>
            <w:tcW w:type="dxa" w:w="192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Escritórios Jurídicos</w:t>
            </w:r>
          </w:p>
        </w:tc>
        <w:tc>
          <w:tcPr>
            <w:tcW w:type="dxa" w:w="2835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Bancas cíveis, trabalhistas e empresariais SEM área tributária</w:t>
            </w:r>
          </w:p>
        </w:tc>
        <w:tc>
          <w:tcPr>
            <w:tcW w:type="dxa" w:w="3402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Solução tributária e societária completa para a base do advogado (modelo de remuneração sob validação do CLO — Nota nº 2)</w:t>
            </w:r>
          </w:p>
        </w:tc>
        <w:tc>
          <w:tcPr>
            <w:tcW w:type="dxa" w:w="147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Foco principal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Consultorias de Negócios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Consultores de gestão, CFOs as a service, assessores de negócios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Monetização da carteira C-level via honorários de parceria/êxito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Foco principal</w:t>
            </w:r>
          </w:p>
        </w:tc>
      </w:tr>
      <w:tr>
        <w:tc>
          <w:tcPr>
            <w:tcW w:type="dxa" w:w="192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Representantes &amp; Corretores</w:t>
            </w:r>
          </w:p>
        </w:tc>
        <w:tc>
          <w:tcPr>
            <w:tcW w:type="dxa" w:w="2835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Representantes B2B, corretores de seguros corporativos, agentes autônomos</w:t>
            </w:r>
          </w:p>
        </w:tc>
        <w:tc>
          <w:tcPr>
            <w:tcW w:type="dxa" w:w="3402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Produtos de alto ticket na rotina de visitas — atuação POR OPORTUNIDADE, sem esforço ativo de captação</w:t>
            </w:r>
          </w:p>
        </w:tc>
        <w:tc>
          <w:tcPr>
            <w:tcW w:type="dxa" w:w="147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Avaliar / oportunidade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>Fora do escopo da área</w:t>
      </w:r>
    </w:p>
    <w:p>
      <w:pPr>
        <w:pStyle w:val="ListBullet"/>
        <w:spacing w:after="60"/>
      </w:pPr>
      <w:r>
        <w:rPr>
          <w:rFonts w:ascii="Inter" w:hAnsi="Inter"/>
          <w:b w:val="0"/>
          <w:i w:val="0"/>
          <w:color w:val="141414"/>
          <w:sz w:val="21"/>
        </w:rPr>
        <w:t xml:space="preserve">A </w:t>
      </w:r>
      <w:r>
        <w:rPr>
          <w:rFonts w:ascii="Inter" w:hAnsi="Inter"/>
          <w:b/>
          <w:i w:val="0"/>
          <w:color w:val="141414"/>
          <w:sz w:val="21"/>
        </w:rPr>
        <w:t>venda executiva</w:t>
      </w:r>
      <w:r>
        <w:rPr>
          <w:rFonts w:ascii="Inter" w:hAnsi="Inter"/>
          <w:b w:val="0"/>
          <w:i w:val="0"/>
          <w:color w:val="141414"/>
          <w:sz w:val="21"/>
        </w:rPr>
        <w:t xml:space="preserve"> ao cliente final (área de Vendas / executivos da base).</w:t>
      </w:r>
    </w:p>
    <w:p>
      <w:pPr>
        <w:pStyle w:val="ListBullet"/>
        <w:spacing w:after="60"/>
      </w:pPr>
      <w:r>
        <w:rPr>
          <w:rFonts w:ascii="Inter" w:hAnsi="Inter"/>
          <w:b w:val="0"/>
          <w:i w:val="0"/>
          <w:color w:val="141414"/>
          <w:sz w:val="21"/>
        </w:rPr>
        <w:t xml:space="preserve">A relação de </w:t>
      </w:r>
      <w:r>
        <w:rPr>
          <w:rFonts w:ascii="Inter" w:hAnsi="Inter"/>
          <w:b/>
          <w:i w:val="0"/>
          <w:color w:val="141414"/>
          <w:sz w:val="21"/>
        </w:rPr>
        <w:t>fornecimento</w:t>
      </w:r>
      <w:r>
        <w:rPr>
          <w:rFonts w:ascii="Inter" w:hAnsi="Inter"/>
          <w:b w:val="0"/>
          <w:i w:val="0"/>
          <w:color w:val="141414"/>
          <w:sz w:val="21"/>
        </w:rPr>
        <w:t xml:space="preserve"> com o Grupo Studio e a operação do PJ360 (governança própria no Planejamento v2).</w:t>
      </w:r>
    </w:p>
    <w:p>
      <w:pPr>
        <w:pStyle w:val="ListBullet"/>
        <w:spacing w:after="60"/>
      </w:pPr>
      <w:r>
        <w:rPr>
          <w:rFonts w:ascii="Inter" w:hAnsi="Inter"/>
          <w:b w:val="0"/>
          <w:i w:val="0"/>
          <w:color w:val="141414"/>
          <w:sz w:val="21"/>
        </w:rPr>
        <w:t xml:space="preserve">A </w:t>
      </w:r>
      <w:r>
        <w:rPr>
          <w:rFonts w:ascii="Inter" w:hAnsi="Inter"/>
          <w:b/>
          <w:i w:val="0"/>
          <w:color w:val="141414"/>
          <w:sz w:val="21"/>
        </w:rPr>
        <w:t>geração de leads digital</w:t>
      </w:r>
      <w:r>
        <w:rPr>
          <w:rFonts w:ascii="Inter" w:hAnsi="Inter"/>
          <w:b w:val="0"/>
          <w:i w:val="0"/>
          <w:color w:val="141414"/>
          <w:sz w:val="21"/>
        </w:rPr>
        <w:t xml:space="preserve"> (Coordenação de Geração &amp; Distribuição de Leads — Bruno Marinho).</w:t>
      </w:r>
    </w:p>
    <w:p>
      <w:pPr>
        <w:pStyle w:val="Heading1"/>
      </w:pPr>
      <w:r>
        <w:t>Seção 3 — Estrutura &amp; Papéis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 xml:space="preserve">A Coordenação de Parcerias responde ao </w:t>
      </w:r>
      <w:r>
        <w:rPr>
          <w:rFonts w:ascii="Inter" w:hAnsi="Inter"/>
          <w:b/>
          <w:i w:val="0"/>
          <w:color w:val="010860"/>
          <w:sz w:val="21"/>
        </w:rPr>
        <w:t>CCO &amp; CSO (Cleber Candia)</w:t>
      </w:r>
      <w:r>
        <w:rPr>
          <w:rFonts w:ascii="Inter" w:hAnsi="Inter"/>
          <w:b w:val="0"/>
          <w:i w:val="0"/>
          <w:color w:val="141414"/>
          <w:sz w:val="21"/>
        </w:rPr>
        <w:t xml:space="preserve"> e opera como célula única — </w:t>
      </w:r>
      <w:r>
        <w:rPr>
          <w:rFonts w:ascii="Inter" w:hAnsi="Inter"/>
          <w:b/>
          <w:i w:val="0"/>
          <w:color w:val="141414"/>
          <w:sz w:val="21"/>
        </w:rPr>
        <w:t>Ulisses</w:t>
      </w:r>
      <w:r>
        <w:rPr>
          <w:rFonts w:ascii="Inter" w:hAnsi="Inter"/>
          <w:b w:val="0"/>
          <w:i w:val="0"/>
          <w:color w:val="141414"/>
          <w:sz w:val="21"/>
        </w:rPr>
        <w:t xml:space="preserve"> como coordenador, sem equipe própria nesta fase. A régua por tier (Seção 6.7) e o apoio de Agentes/automação são o que torna a célula única viável até a chegada de um analista de parcerias (Nota nº 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CE3"/>
          <w:left w:val="single" w:sz="4" w:space="0" w:color="C9CCE3"/>
          <w:bottom w:val="single" w:sz="4" w:space="0" w:color="C9CCE3"/>
          <w:right w:val="single" w:sz="4" w:space="0" w:color="C9CCE3"/>
          <w:insideH w:val="single" w:sz="4" w:space="0" w:color="C9CCE3"/>
          <w:insideV w:val="single" w:sz="4" w:space="0" w:color="C9CCE3"/>
        </w:tblBorders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8"/>
              </w:rPr>
              <w:t>Papel</w:t>
            </w:r>
          </w:p>
        </w:tc>
        <w:tc>
          <w:tcPr>
            <w:tcW w:type="dxa" w:w="2381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8"/>
              </w:rPr>
              <w:t>Quem</w:t>
            </w:r>
          </w:p>
        </w:tc>
        <w:tc>
          <w:tcPr>
            <w:tcW w:type="dxa" w:w="5443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8"/>
              </w:rPr>
              <w:t>Responsabilidade na parceria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Sponsor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Dr. Lucas Santos (CEO)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Aprova o modelo, as metas e as exceções de maior alçada; abre portas institucionais (entidades, eventos)</w:t>
            </w:r>
          </w:p>
        </w:tc>
      </w:tr>
      <w:tr>
        <w:tc>
          <w:tcPr>
            <w:tcW w:type="dxa" w:w="181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Gestor do canal</w:t>
            </w:r>
          </w:p>
        </w:tc>
        <w:tc>
          <w:tcPr>
            <w:tcW w:type="dxa" w:w="238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Cleber Candia (CCO &amp; CSO)</w:t>
            </w:r>
          </w:p>
        </w:tc>
        <w:tc>
          <w:tcPr>
            <w:tcW w:type="dxa" w:w="5443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Supervisiona o canal, arbitra exceções de roteamento e pedidos de centralização; responde pelo resultado comercial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Coordenador de Parcerias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Ulisses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Ponto focal único do parceiro: capta, credencia, mapeia carteira, monta o plano conjunto e cumpre a régua de contato</w:t>
            </w:r>
          </w:p>
        </w:tc>
      </w:tr>
      <w:tr>
        <w:tc>
          <w:tcPr>
            <w:tcW w:type="dxa" w:w="181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Executivo de Vendas</w:t>
            </w:r>
          </w:p>
        </w:tc>
        <w:tc>
          <w:tcPr>
            <w:tcW w:type="dxa" w:w="238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Executivo da base (roteado pelo CRM)</w:t>
            </w:r>
          </w:p>
        </w:tc>
        <w:tc>
          <w:tcPr>
            <w:tcW w:type="dxa" w:w="5443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Conduz 100% da ação comercial na conta indicada; reporta status no dashboard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Parceiro (indicador)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Rede credenciada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Abre a porta, valida a oportunidade e acompanha pelo dashboard — não conduz a venda</w:t>
            </w:r>
          </w:p>
        </w:tc>
      </w:tr>
      <w:tr>
        <w:tc>
          <w:tcPr>
            <w:tcW w:type="dxa" w:w="181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Agente de CRM</w:t>
            </w:r>
          </w:p>
        </w:tc>
        <w:tc>
          <w:tcPr>
            <w:tcW w:type="dxa" w:w="238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Automação (Twenty + Agentes)</w:t>
            </w:r>
          </w:p>
        </w:tc>
        <w:tc>
          <w:tcPr>
            <w:tcW w:type="dxa" w:w="5443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8"/>
              </w:rPr>
              <w:t>Régua automatizada do Tier C, alertas de inatividade, cobrança de follow-up e espelho do funil do parceiro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>Regra de roteamento (compliance)</w:t>
      </w:r>
    </w:p>
    <w:p>
      <w:pPr>
        <w:pStyle w:val="ListBullet"/>
        <w:spacing w:after="60"/>
      </w:pPr>
      <w:r>
        <w:rPr>
          <w:rFonts w:ascii="Inter" w:hAnsi="Inter"/>
          <w:b w:val="0"/>
          <w:i w:val="0"/>
          <w:color w:val="141414"/>
          <w:sz w:val="21"/>
        </w:rPr>
        <w:t xml:space="preserve">O parceiro </w:t>
      </w:r>
      <w:r>
        <w:rPr>
          <w:rFonts w:ascii="Inter" w:hAnsi="Inter"/>
          <w:b/>
          <w:i w:val="0"/>
          <w:color w:val="141414"/>
          <w:sz w:val="21"/>
        </w:rPr>
        <w:t>não escolhe</w:t>
      </w:r>
      <w:r>
        <w:rPr>
          <w:rFonts w:ascii="Inter" w:hAnsi="Inter"/>
          <w:b w:val="0"/>
          <w:i w:val="0"/>
          <w:color w:val="141414"/>
          <w:sz w:val="21"/>
        </w:rPr>
        <w:t xml:space="preserve"> o executivo que atenderá seus clientes — o roteamento é do CRM/CCO, observando carga, senioridade e conflito de interesse.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Exceção única:</w:t>
      </w:r>
      <w:r>
        <w:rPr>
          <w:rFonts w:ascii="Inter" w:hAnsi="Inter"/>
          <w:b w:val="0"/>
          <w:i w:val="0"/>
          <w:color w:val="141414"/>
          <w:sz w:val="21"/>
        </w:rPr>
        <w:t xml:space="preserve"> parceiro captado/indicado por um executivo permanece vinculado a esse executivo, por coerência e respeito à relação — </w:t>
      </w:r>
      <w:r>
        <w:rPr>
          <w:rFonts w:ascii="Inter" w:hAnsi="Inter"/>
          <w:b/>
          <w:i w:val="0"/>
          <w:color w:val="141414"/>
          <w:sz w:val="21"/>
        </w:rPr>
        <w:t>registrada no CRM como origem 'executivo indicador'</w:t>
      </w:r>
      <w:r>
        <w:rPr>
          <w:rFonts w:ascii="Inter" w:hAnsi="Inter"/>
          <w:b w:val="0"/>
          <w:i w:val="0"/>
          <w:color w:val="141414"/>
          <w:sz w:val="21"/>
        </w:rPr>
        <w:t xml:space="preserve"> para auditoria (Nota nº 7).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9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ti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9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Inter" w:hAnsi="Inter"/>
          <w:b w:val="0"/>
          <w:i/>
          <w:color w:val="5A5A5A"/>
          <w:sz w:val="17"/>
        </w:rPr>
        <w:t>Régua de relacionamento por tier — o desenho que torna exequível a gestão de 100+ parceiros por uma célula única.</w:t>
      </w:r>
    </w:p>
    <w:p>
      <w:pPr>
        <w:pStyle w:val="Heading1"/>
      </w:pPr>
      <w:r>
        <w:t>Seção 4 — Interfaces com Outras Áreas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 xml:space="preserve">A Gestão de Parcerias é uma </w:t>
      </w:r>
      <w:r>
        <w:rPr>
          <w:rFonts w:ascii="Inter" w:hAnsi="Inter"/>
          <w:b/>
          <w:i w:val="0"/>
          <w:color w:val="141414"/>
          <w:sz w:val="21"/>
        </w:rPr>
        <w:t>área de fronteiras</w:t>
      </w:r>
      <w:r>
        <w:rPr>
          <w:rFonts w:ascii="Inter" w:hAnsi="Inter"/>
          <w:b w:val="0"/>
          <w:i w:val="0"/>
          <w:color w:val="141414"/>
          <w:sz w:val="21"/>
        </w:rPr>
        <w:t xml:space="preserve"> — quase tudo o que ela origina é executado por outra área. As interfaces abaixo declaram de quem a área depende e quem depende dela (padrão de toda Carta de Área).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CE3"/>
          <w:left w:val="single" w:sz="4" w:space="0" w:color="C9CCE3"/>
          <w:bottom w:val="single" w:sz="4" w:space="0" w:color="C9CCE3"/>
          <w:right w:val="single" w:sz="4" w:space="0" w:color="C9CCE3"/>
          <w:insideH w:val="single" w:sz="4" w:space="0" w:color="C9CCE3"/>
          <w:insideV w:val="single" w:sz="4" w:space="0" w:color="C9CCE3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871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Interface</w:t>
            </w:r>
          </w:p>
        </w:tc>
        <w:tc>
          <w:tcPr>
            <w:tcW w:type="dxa" w:w="2494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O que a Parceria entrega</w:t>
            </w:r>
          </w:p>
        </w:tc>
        <w:tc>
          <w:tcPr>
            <w:tcW w:type="dxa" w:w="2494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O que recebe de volta</w:t>
            </w:r>
          </w:p>
        </w:tc>
        <w:tc>
          <w:tcPr>
            <w:tcW w:type="dxa" w:w="2778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Fronteira crítica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Vendas (CCO / executivos)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Indicação qualificada registrada no CRM + contexto da conta e do parceiro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Condução da venda, status passo a passo no dashboard e feedback de qualidade da indicação</w:t>
            </w:r>
          </w:p>
        </w:tc>
        <w:tc>
          <w:tcPr>
            <w:tcW w:type="dxa" w:w="277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Executivo conduz 100%; parceiro e coordenador acompanham — nunca o inverso</w:t>
            </w:r>
          </w:p>
        </w:tc>
      </w:tr>
      <w:tr>
        <w:tc>
          <w:tcPr>
            <w:tcW w:type="dxa" w:w="187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Geração de Leads (Bruno Marinho)</w:t>
            </w:r>
          </w:p>
        </w:tc>
        <w:tc>
          <w:tcPr>
            <w:tcW w:type="dxa" w:w="249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Regra de origem: conta indicada por parceiro é do canal indireto</w:t>
            </w:r>
          </w:p>
        </w:tc>
        <w:tc>
          <w:tcPr>
            <w:tcW w:type="dxa" w:w="249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Leads de tráfego que casem com carteira de parceiro (co-validação)</w:t>
            </w:r>
          </w:p>
        </w:tc>
        <w:tc>
          <w:tcPr>
            <w:tcW w:type="dxa" w:w="277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Conflito de origem (lead pago × indicação) → decide a origem registrada primeiro no CRM (Nota nº 7)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Jurídico (CLO Alexandre)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Demanda de contratos (LA direto / tripartite GS), aditivos e distratos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Modelo contratual validado, parecer OAB para perfil jurídico e cláusulas de exclusividade</w:t>
            </w:r>
          </w:p>
        </w:tc>
        <w:tc>
          <w:tcPr>
            <w:tcW w:type="dxa" w:w="277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Nenhum credenciamento sem contrato assinado; perfil 'escritório jurídico' só após parecer do CLO (Nota nº 2)</w:t>
            </w:r>
          </w:p>
        </w:tc>
      </w:tr>
      <w:tr>
        <w:tc>
          <w:tcPr>
            <w:tcW w:type="dxa" w:w="187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Marketing</w:t>
            </w:r>
          </w:p>
        </w:tc>
        <w:tc>
          <w:tcPr>
            <w:tcW w:type="dxa" w:w="249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Demanda de kits, eventos, newsletter e conteúdo do canal</w:t>
            </w:r>
          </w:p>
        </w:tc>
        <w:tc>
          <w:tcPr>
            <w:tcW w:type="dxa" w:w="249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Kit do parceiro, calendário de eventos (ciclo 45–60 dias) e materiais no padrão da marca</w:t>
            </w:r>
          </w:p>
        </w:tc>
        <w:tc>
          <w:tcPr>
            <w:tcW w:type="dxa" w:w="277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Comunicação ao cliente final é sempre com a marca conduzida pela LA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Operações (CAO Peter)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Cliente fechado via parceiro entra na esteira de entrega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SLA e status de entrega — a experiência de entrega reflete diretamente na confiança do parceiro</w:t>
            </w:r>
          </w:p>
        </w:tc>
        <w:tc>
          <w:tcPr>
            <w:tcW w:type="dxa" w:w="277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Problema de entrega em conta de parceiro tem prioridade de comunicação (protege o canal)</w:t>
            </w:r>
          </w:p>
        </w:tc>
      </w:tr>
      <w:tr>
        <w:tc>
          <w:tcPr>
            <w:tcW w:type="dxa" w:w="187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Grupo Studio (fornecedor)</w:t>
            </w:r>
          </w:p>
        </w:tc>
        <w:tc>
          <w:tcPr>
            <w:tcW w:type="dxa" w:w="249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Oportunidades de soluções GS originadas na rede</w:t>
            </w:r>
          </w:p>
        </w:tc>
        <w:tc>
          <w:tcPr>
            <w:tcW w:type="dxa" w:w="249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Portfólio complementar, PJ360 e premissas de gestão de parceiros</w:t>
            </w:r>
          </w:p>
        </w:tc>
        <w:tc>
          <w:tcPr>
            <w:tcW w:type="dxa" w:w="277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GS é fornecedor — a relação com o parceiro e com o cliente é da Lucro Ativo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TI / Agentes (Júlio + terceirizados)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Requisitos do dashboard do parceiro e da régua automatizada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Dashboard filtrado, alertas de inatividade e espelho de funil</w:t>
            </w:r>
          </w:p>
        </w:tc>
        <w:tc>
          <w:tcPr>
            <w:tcW w:type="dxa" w:w="277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Parceiro vê SOMENTE a própria carteira — visão filtrada, LGPD (Nota nº 5)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>Seção 5 — Metas &amp; KPIs</w:t>
      </w:r>
    </w:p>
    <w:p>
      <w:pPr>
        <w:spacing w:after="160" w:before="40"/>
      </w:pPr>
      <w:r>
        <w:rPr>
          <w:rFonts w:ascii="Montserrat" w:hAnsi="Montserrat"/>
          <w:b/>
          <w:i w:val="0"/>
          <w:color w:val="010860"/>
          <w:sz w:val="19"/>
        </w:rPr>
        <w:t>A META-MÃE: 100+ PARCEIROS EFETIVAMENTE TRABALHANDO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 xml:space="preserve">Ponto de partida real (auditoria de 20/08/2026): </w:t>
      </w:r>
      <w:r>
        <w:rPr>
          <w:rFonts w:ascii="Inter" w:hAnsi="Inter"/>
          <w:b/>
          <w:i w:val="0"/>
          <w:color w:val="141414"/>
          <w:sz w:val="21"/>
        </w:rPr>
        <w:t>82 parceiros com contrato mapeados</w:t>
      </w:r>
      <w:r>
        <w:rPr>
          <w:rFonts w:ascii="Inter" w:hAnsi="Inter"/>
          <w:b w:val="0"/>
          <w:i w:val="0"/>
          <w:color w:val="141414"/>
          <w:sz w:val="21"/>
        </w:rPr>
        <w:t xml:space="preserve"> (57 assinados, 20 minutas, 1 distrato, demais a verificar), grande parte </w:t>
      </w:r>
      <w:r>
        <w:rPr>
          <w:rFonts w:ascii="Inter" w:hAnsi="Inter"/>
          <w:b/>
          <w:i w:val="0"/>
          <w:color w:val="141414"/>
          <w:sz w:val="21"/>
        </w:rPr>
        <w:t>inativa ou em stand-by</w:t>
      </w:r>
      <w:r>
        <w:rPr>
          <w:rFonts w:ascii="Inter" w:hAnsi="Inter"/>
          <w:b w:val="0"/>
          <w:i w:val="0"/>
          <w:color w:val="141414"/>
          <w:sz w:val="21"/>
        </w:rPr>
        <w:t xml:space="preserve">, e cadastro no Twenty ainda incompleto. A meta de 100+ ativos é portanto uma combinação de </w:t>
      </w:r>
      <w:r>
        <w:rPr>
          <w:rFonts w:ascii="Inter" w:hAnsi="Inter"/>
          <w:b/>
          <w:i w:val="0"/>
          <w:color w:val="010860"/>
          <w:sz w:val="21"/>
        </w:rPr>
        <w:t>reativação da base</w:t>
      </w:r>
      <w:r>
        <w:rPr>
          <w:rFonts w:ascii="Inter" w:hAnsi="Inter"/>
          <w:b w:val="0"/>
          <w:i w:val="0"/>
          <w:color w:val="141414"/>
          <w:sz w:val="21"/>
        </w:rPr>
        <w:t xml:space="preserve"> + </w:t>
      </w:r>
      <w:r>
        <w:rPr>
          <w:rFonts w:ascii="Inter" w:hAnsi="Inter"/>
          <w:b/>
          <w:i w:val="0"/>
          <w:color w:val="010860"/>
          <w:sz w:val="21"/>
        </w:rPr>
        <w:t>captação seletiva</w:t>
      </w:r>
      <w:r>
        <w:rPr>
          <w:rFonts w:ascii="Inter" w:hAnsi="Inter"/>
          <w:b w:val="0"/>
          <w:i w:val="0"/>
          <w:color w:val="141414"/>
          <w:sz w:val="21"/>
        </w:rPr>
        <w:t xml:space="preserve"> — nessa ordem.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AFC7DE"/>
          <w:left w:val="single" w:sz="6" w:space="0" w:color="AFC7DE"/>
          <w:bottom w:val="single" w:sz="6" w:space="0" w:color="AFC7DE"/>
          <w:right w:val="single" w:sz="6" w:space="0" w:color="AFC7DE"/>
          <w:insideH w:val="single" w:sz="6" w:space="0" w:color="AFC7DE"/>
          <w:insideV w:val="single" w:sz="6" w:space="0" w:color="AFC7DE"/>
        </w:tblBorders>
      </w:tblPr>
      <w:tblGrid>
        <w:gridCol w:w="9638"/>
      </w:tblGrid>
      <w:tr>
        <w:tc>
          <w:tcPr>
            <w:tcW w:type="dxa" w:w="9638"/>
            <w:shd w:val="clear" w:fill="EAF2F8"/>
          </w:tcPr>
          <w:p>
            <w:pPr>
              <w:spacing w:after="80" w:before="40"/>
            </w:pPr>
            <w:r>
              <w:rPr>
                <w:rFonts w:ascii="Montserrat" w:hAnsi="Montserrat"/>
                <w:b/>
                <w:i w:val="0"/>
                <w:color w:val="010860"/>
                <w:sz w:val="20"/>
              </w:rPr>
              <w:t>◆ O QUE CONTA COMO 'PARCEIRO ATIVO' (régua proposta — decide a Diretoria)</w:t>
            </w:r>
          </w:p>
          <w:p>
            <w:pPr>
              <w:spacing w:after="60"/>
            </w:pP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Parceiro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ATIVO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= contrato vigente + carteira mapeada + plano conjunto do ciclo +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pelo menos 1 indicação qualificada OU 1 reunião de carteira realizada no trimestre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>.</w:t>
            </w:r>
          </w:p>
          <w:p>
            <w:pPr>
              <w:spacing w:after="60"/>
            </w:pP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>Sem essa régua, '100+ parceiros' vira contagem de contratos assinados — exatamente o estado atual que queremos corrigir (Nota nº 3).</w:t>
            </w:r>
          </w:p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C98F"/>
          <w:left w:val="single" w:sz="6" w:space="0" w:color="E2C98F"/>
          <w:bottom w:val="single" w:sz="6" w:space="0" w:color="E2C98F"/>
          <w:right w:val="single" w:sz="6" w:space="0" w:color="E2C98F"/>
          <w:insideH w:val="single" w:sz="6" w:space="0" w:color="E2C98F"/>
          <w:insideV w:val="single" w:sz="6" w:space="0" w:color="E2C98F"/>
        </w:tblBorders>
      </w:tblPr>
      <w:tblGrid>
        <w:gridCol w:w="9638"/>
      </w:tblGrid>
      <w:tr>
        <w:tc>
          <w:tcPr>
            <w:tcW w:type="dxa" w:w="9638"/>
            <w:shd w:val="clear" w:fill="FFF8EC"/>
          </w:tcPr>
          <w:p>
            <w:pPr>
              <w:spacing w:after="80" w:before="40"/>
            </w:pPr>
            <w:r>
              <w:rPr>
                <w:rFonts w:ascii="Montserrat" w:hAnsi="Montserrat"/>
                <w:b/>
                <w:i w:val="0"/>
                <w:color w:val="7A5A1E"/>
                <w:sz w:val="19"/>
              </w:rPr>
              <w:t>⬧ PROPOSTA (a validar) — Trajetória de ativação (ramp trimestral)</w:t>
            </w:r>
          </w:p>
          <w:p>
            <w:pPr>
              <w:spacing w:after="60"/>
            </w:pPr>
            <w:r>
              <w:rPr>
                <w:rFonts w:ascii="Inter" w:hAnsi="Inter"/>
                <w:b w:val="0"/>
                <w:i w:val="0"/>
                <w:color w:val="3A2E14"/>
                <w:sz w:val="19"/>
              </w:rPr>
              <w:t xml:space="preserve">Set/2026 — </w:t>
            </w:r>
            <w:r>
              <w:rPr>
                <w:rFonts w:ascii="Inter" w:hAnsi="Inter"/>
                <w:b/>
                <w:i w:val="0"/>
                <w:color w:val="3A2E14"/>
                <w:sz w:val="19"/>
              </w:rPr>
              <w:t>Fundação:</w:t>
            </w:r>
            <w:r>
              <w:rPr>
                <w:rFonts w:ascii="Inter" w:hAnsi="Inter"/>
                <w:b w:val="0"/>
                <w:i w:val="0"/>
                <w:color w:val="3A2E14"/>
                <w:sz w:val="19"/>
              </w:rPr>
              <w:t xml:space="preserve"> 82 parceiros cadastrados no Twenty, classificados por tier e status; 20 planos conjuntos (Tier A).</w:t>
            </w:r>
          </w:p>
          <w:p>
            <w:pPr>
              <w:spacing w:after="60"/>
            </w:pPr>
            <w:r>
              <w:rPr>
                <w:rFonts w:ascii="Inter" w:hAnsi="Inter"/>
                <w:b w:val="0"/>
                <w:i w:val="0"/>
                <w:color w:val="3A2E14"/>
                <w:sz w:val="19"/>
              </w:rPr>
              <w:t xml:space="preserve">Q4/2026: </w:t>
            </w:r>
            <w:r>
              <w:rPr>
                <w:rFonts w:ascii="Inter" w:hAnsi="Inter"/>
                <w:b/>
                <w:i w:val="0"/>
                <w:color w:val="3A2E14"/>
                <w:sz w:val="19"/>
              </w:rPr>
              <w:t>40 ativos</w:t>
            </w:r>
            <w:r>
              <w:rPr>
                <w:rFonts w:ascii="Inter" w:hAnsi="Inter"/>
                <w:b w:val="0"/>
                <w:i w:val="0"/>
                <w:color w:val="3A2E14"/>
                <w:sz w:val="19"/>
              </w:rPr>
              <w:t xml:space="preserve">  ·  Q1/2027: </w:t>
            </w:r>
            <w:r>
              <w:rPr>
                <w:rFonts w:ascii="Inter" w:hAnsi="Inter"/>
                <w:b/>
                <w:i w:val="0"/>
                <w:color w:val="3A2E14"/>
                <w:sz w:val="19"/>
              </w:rPr>
              <w:t>60 ativos</w:t>
            </w:r>
            <w:r>
              <w:rPr>
                <w:rFonts w:ascii="Inter" w:hAnsi="Inter"/>
                <w:b w:val="0"/>
                <w:i w:val="0"/>
                <w:color w:val="3A2E14"/>
                <w:sz w:val="19"/>
              </w:rPr>
              <w:t xml:space="preserve">  ·  Q2/2027: </w:t>
            </w:r>
            <w:r>
              <w:rPr>
                <w:rFonts w:ascii="Inter" w:hAnsi="Inter"/>
                <w:b/>
                <w:i w:val="0"/>
                <w:color w:val="3A2E14"/>
                <w:sz w:val="19"/>
              </w:rPr>
              <w:t>80 ativos</w:t>
            </w:r>
            <w:r>
              <w:rPr>
                <w:rFonts w:ascii="Inter" w:hAnsi="Inter"/>
                <w:b w:val="0"/>
                <w:i w:val="0"/>
                <w:color w:val="3A2E14"/>
                <w:sz w:val="19"/>
              </w:rPr>
              <w:t xml:space="preserve">  ·  Q3/2027: </w:t>
            </w:r>
            <w:r>
              <w:rPr>
                <w:rFonts w:ascii="Inter" w:hAnsi="Inter"/>
                <w:b/>
                <w:i w:val="0"/>
                <w:color w:val="3A2E14"/>
                <w:sz w:val="19"/>
              </w:rPr>
              <w:t>100+ ativos</w:t>
            </w:r>
            <w:r>
              <w:rPr>
                <w:rFonts w:ascii="Inter" w:hAnsi="Inter"/>
                <w:b w:val="0"/>
                <w:i w:val="0"/>
                <w:color w:val="3A2E14"/>
                <w:sz w:val="19"/>
              </w:rPr>
              <w:t>.</w:t>
            </w:r>
          </w:p>
          <w:p>
            <w:pPr>
              <w:spacing w:after="60"/>
            </w:pPr>
            <w:r>
              <w:rPr>
                <w:rFonts w:ascii="Inter" w:hAnsi="Inter"/>
                <w:b w:val="0"/>
                <w:i w:val="0"/>
                <w:color w:val="3A2E14"/>
                <w:sz w:val="19"/>
              </w:rPr>
              <w:t>Faixas de referência para validação — o dimensionamento fino depende da taxa real de reativação do 1º ciclo.</w:t>
            </w:r>
            <w:r>
              <w:rPr>
                <w:rFonts w:ascii="Inter" w:hAnsi="Inter"/>
                <w:b/>
                <w:i w:val="0"/>
                <w:color w:val="B9770E"/>
                <w:sz w:val="17"/>
              </w:rPr>
              <w:t xml:space="preserve">  [PARÂMETRO A VALIDAR]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>KPIs da Coordenação (painel do Coordenador)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CE3"/>
          <w:left w:val="single" w:sz="4" w:space="0" w:color="C9CCE3"/>
          <w:bottom w:val="single" w:sz="4" w:space="0" w:color="C9CCE3"/>
          <w:right w:val="single" w:sz="4" w:space="0" w:color="C9CCE3"/>
          <w:insideH w:val="single" w:sz="4" w:space="0" w:color="C9CCE3"/>
          <w:insideV w:val="single" w:sz="4" w:space="0" w:color="C9CCE3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721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KPI</w:t>
            </w:r>
          </w:p>
        </w:tc>
        <w:tc>
          <w:tcPr>
            <w:tcW w:type="dxa" w:w="2948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Meta proposta</w:t>
            </w:r>
          </w:p>
        </w:tc>
        <w:tc>
          <w:tcPr>
            <w:tcW w:type="dxa" w:w="1474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Frequência</w:t>
            </w:r>
          </w:p>
        </w:tc>
        <w:tc>
          <w:tcPr>
            <w:tcW w:type="dxa" w:w="2494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Fonte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Parceiros ativos (régua acima)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Ramp: 40 → 60 → 80 → 100+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Mensal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Twenty (objeto parcerias)</w:t>
            </w:r>
          </w:p>
        </w:tc>
      </w:tr>
      <w:tr>
        <w:tc>
          <w:tcPr>
            <w:tcW w:type="dxa" w:w="272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Novos parceiros credenciados</w:t>
            </w:r>
          </w:p>
        </w:tc>
        <w:tc>
          <w:tcPr>
            <w:tcW w:type="dxa" w:w="294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4–6 / mês (com carteira mapeada)</w:t>
            </w:r>
          </w:p>
        </w:tc>
        <w:tc>
          <w:tcPr>
            <w:tcW w:type="dxa" w:w="147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Mensal</w:t>
            </w:r>
          </w:p>
        </w:tc>
        <w:tc>
          <w:tcPr>
            <w:tcW w:type="dxa" w:w="249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Contratos ZapSign + CRM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Reativações da base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6–8 / mês nos 2 primeiros ciclos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Mensal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CRM (status standby→ativo)</w:t>
            </w:r>
          </w:p>
        </w:tc>
      </w:tr>
      <w:tr>
        <w:tc>
          <w:tcPr>
            <w:tcW w:type="dxa" w:w="272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Aderência à régua de contato</w:t>
            </w:r>
          </w:p>
        </w:tc>
        <w:tc>
          <w:tcPr>
            <w:tcW w:type="dxa" w:w="294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≥ 90% dos contatos programados cumpridos</w:t>
            </w:r>
          </w:p>
        </w:tc>
        <w:tc>
          <w:tcPr>
            <w:tcW w:type="dxa" w:w="147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Quinzenal</w:t>
            </w:r>
          </w:p>
        </w:tc>
        <w:tc>
          <w:tcPr>
            <w:tcW w:type="dxa" w:w="249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Agenda + registro de atividade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Indicações qualificadas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≥ 1 por parceiro ativo / trimestre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Mensal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CRM (origem parceiro)</w:t>
            </w:r>
          </w:p>
        </w:tc>
      </w:tr>
      <w:tr>
        <w:tc>
          <w:tcPr>
            <w:tcW w:type="dxa" w:w="272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Conversão indicação → contrato</w:t>
            </w:r>
          </w:p>
        </w:tc>
        <w:tc>
          <w:tcPr>
            <w:tcW w:type="dxa" w:w="294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Acompanhar e estabelecer baseline no 1º ciclo</w:t>
            </w:r>
          </w:p>
        </w:tc>
        <w:tc>
          <w:tcPr>
            <w:tcW w:type="dxa" w:w="147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Mensal</w:t>
            </w:r>
          </w:p>
        </w:tc>
        <w:tc>
          <w:tcPr>
            <w:tcW w:type="dxa" w:w="249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Funil comercial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Tempo credenciamento → 1ª indicação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≤ 45 dias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Por parceiro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CRM</w:t>
            </w:r>
          </w:p>
        </w:tc>
      </w:tr>
      <w:tr>
        <w:tc>
          <w:tcPr>
            <w:tcW w:type="dxa" w:w="272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NPS do parceiro</w:t>
            </w:r>
          </w:p>
        </w:tc>
        <w:tc>
          <w:tcPr>
            <w:tcW w:type="dxa" w:w="294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Pesquisa semestral (baseline no 1º ciclo)</w:t>
            </w:r>
          </w:p>
        </w:tc>
        <w:tc>
          <w:tcPr>
            <w:tcW w:type="dxa" w:w="147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Semestral</w:t>
            </w:r>
          </w:p>
        </w:tc>
        <w:tc>
          <w:tcPr>
            <w:tcW w:type="dxa" w:w="249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Pesquisa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Inter" w:hAnsi="Inter"/>
          <w:b/>
          <w:i w:val="0"/>
          <w:color w:val="141414"/>
          <w:sz w:val="21"/>
        </w:rPr>
        <w:t>Todos os valores acima são PARÂMETRO A VALIDAR</w:t>
      </w:r>
      <w:r>
        <w:rPr>
          <w:rFonts w:ascii="Inter" w:hAnsi="Inter"/>
          <w:b w:val="0"/>
          <w:i w:val="0"/>
          <w:color w:val="141414"/>
          <w:sz w:val="21"/>
        </w:rPr>
        <w:t xml:space="preserve"> — são faixas de referência de mercado para canal indireto B2B, propostas para a Diretoria calibrar no 1º ciclo. Os contratos vigentes não preveem metas (produtos de difícil metrificação); por isso a régua mede </w:t>
      </w:r>
      <w:r>
        <w:rPr>
          <w:rFonts w:ascii="Inter" w:hAnsi="Inter"/>
          <w:b/>
          <w:i w:val="0"/>
          <w:color w:val="141414"/>
          <w:sz w:val="21"/>
        </w:rPr>
        <w:t>comportamento</w:t>
      </w:r>
      <w:r>
        <w:rPr>
          <w:rFonts w:ascii="Inter" w:hAnsi="Inter"/>
          <w:b w:val="0"/>
          <w:i w:val="0"/>
          <w:color w:val="141414"/>
          <w:sz w:val="21"/>
        </w:rPr>
        <w:t xml:space="preserve"> (reuniões, indicações, plano conjunto), não receita do parceiro (Nota nº 3).</w:t>
      </w:r>
    </w:p>
    <w:p>
      <w:pPr>
        <w:pStyle w:val="Heading1"/>
      </w:pPr>
      <w:r>
        <w:t>Seção 6 — Playbook Operacional</w:t>
      </w:r>
    </w:p>
    <w:p>
      <w:pPr>
        <w:pStyle w:val="Heading2"/>
      </w:pPr>
      <w:r>
        <w:t>6.1 Gatilhos de entrada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Parceiro-alvo identificado</w:t>
      </w:r>
      <w:r>
        <w:rPr>
          <w:rFonts w:ascii="Inter" w:hAnsi="Inter"/>
          <w:b w:val="0"/>
          <w:i w:val="0"/>
          <w:color w:val="141414"/>
          <w:sz w:val="21"/>
        </w:rPr>
        <w:t xml:space="preserve"> — via entidades (SESCON, ACIs, OABs), eventos, indicação de parceiro atual ou de executivo.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Parceiro inativo / stand-by</w:t>
      </w:r>
      <w:r>
        <w:rPr>
          <w:rFonts w:ascii="Inter" w:hAnsi="Inter"/>
          <w:b w:val="0"/>
          <w:i w:val="0"/>
          <w:color w:val="141414"/>
          <w:sz w:val="21"/>
        </w:rPr>
        <w:t xml:space="preserve"> — gatilho de reativação (campanha de conta-alvo ou evento).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Indicação recebida</w:t>
      </w:r>
      <w:r>
        <w:rPr>
          <w:rFonts w:ascii="Inter" w:hAnsi="Inter"/>
          <w:b w:val="0"/>
          <w:i w:val="0"/>
          <w:color w:val="141414"/>
          <w:sz w:val="21"/>
        </w:rPr>
        <w:t xml:space="preserve"> — parceiro apresenta conta da carteira; entra o rito de qualificação e roteamento.</w:t>
      </w:r>
    </w:p>
    <w:p>
      <w:pPr>
        <w:pStyle w:val="Heading2"/>
      </w:pPr>
      <w:r>
        <w:t>6.2 Rito — a Jornada do Parceiro (6 etapas)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85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jornad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Inter" w:hAnsi="Inter"/>
          <w:b w:val="0"/>
          <w:i/>
          <w:color w:val="5A5A5A"/>
          <w:sz w:val="17"/>
        </w:rPr>
        <w:t>Jornada do parceiro: as etapas 4 e 5 (mapeamento + plano conjunto) são o que separa parceiro ativo de contrato de gaveta.</w:t>
      </w:r>
    </w:p>
    <w:p>
      <w:pPr>
        <w:pStyle w:val="Heading3"/>
      </w:pPr>
      <w:r>
        <w:t>Etapa 2 em detalhe — a Proposta de Trabalho (padrão LA)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Apresentação institucional</w:t>
      </w:r>
      <w:r>
        <w:rPr>
          <w:rFonts w:ascii="Inter" w:hAnsi="Inter"/>
          <w:b w:val="0"/>
          <w:i w:val="0"/>
          <w:color w:val="141414"/>
          <w:sz w:val="21"/>
        </w:rPr>
        <w:t xml:space="preserve"> — portfólio LA+GS, casos por segmento e o modelo 'você abre, nós conduzimos, você acompanha tudo'.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Modelo de parceria</w:t>
      </w:r>
      <w:r>
        <w:rPr>
          <w:rFonts w:ascii="Inter" w:hAnsi="Inter"/>
          <w:b w:val="0"/>
          <w:i w:val="0"/>
          <w:color w:val="141414"/>
          <w:sz w:val="21"/>
        </w:rPr>
        <w:t xml:space="preserve"> — papéis, remuneração/percentuais do contrato, régua de relacionamento e dashboard.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Compromissos mútuos</w:t>
      </w:r>
      <w:r>
        <w:rPr>
          <w:rFonts w:ascii="Inter" w:hAnsi="Inter"/>
          <w:b w:val="0"/>
          <w:i w:val="0"/>
          <w:color w:val="141414"/>
          <w:sz w:val="21"/>
        </w:rPr>
        <w:t xml:space="preserve"> — o que a LA garante (condução, transparência, proteção da relação do parceiro com o cliente) e o que espera (acesso à carteira, validação das contas-alvo).</w:t>
      </w:r>
    </w:p>
    <w:p>
      <w:pPr>
        <w:pStyle w:val="Heading3"/>
      </w:pPr>
      <w:r>
        <w:t>Etapas 4–5 em detalhe — Mapeamento &amp; Plano de Atuação Conjunto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Levantamento da base</w:t>
      </w:r>
      <w:r>
        <w:rPr>
          <w:rFonts w:ascii="Inter" w:hAnsi="Inter"/>
          <w:b w:val="0"/>
          <w:i w:val="0"/>
          <w:color w:val="141414"/>
          <w:sz w:val="21"/>
        </w:rPr>
        <w:t xml:space="preserve"> — planilha/formulário padrão: razão social, porte, regime, segmento, relacionamento do parceiro com o decisor. Protegido por confidencialidade contratual (LGPD).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Seleção de contas-alvo</w:t>
      </w:r>
      <w:r>
        <w:rPr>
          <w:rFonts w:ascii="Inter" w:hAnsi="Inter"/>
          <w:b w:val="0"/>
          <w:i w:val="0"/>
          <w:color w:val="141414"/>
          <w:sz w:val="21"/>
        </w:rPr>
        <w:t xml:space="preserve"> — cruzamento da base com o ICP das soluções (Lucro Real/Presumido, folha, ICMS, dívida ativa); 5–10 contas por ciclo.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Estratégia por conta</w:t>
      </w:r>
      <w:r>
        <w:rPr>
          <w:rFonts w:ascii="Inter" w:hAnsi="Inter"/>
          <w:b w:val="0"/>
          <w:i w:val="0"/>
          <w:color w:val="141414"/>
          <w:sz w:val="21"/>
        </w:rPr>
        <w:t xml:space="preserve"> — quem abre (parceiro), formato da abertura (reunião a três, carta de apresentação, evento), executivo roteado e próximo passo datado.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Formalização</w:t>
      </w:r>
      <w:r>
        <w:rPr>
          <w:rFonts w:ascii="Inter" w:hAnsi="Inter"/>
          <w:b w:val="0"/>
          <w:i w:val="0"/>
          <w:color w:val="141414"/>
          <w:sz w:val="21"/>
        </w:rPr>
        <w:t xml:space="preserve"> — o plano conjunto é registrado no CRM e revisado nas reuniões de resultado; sem plano vigente, o parceiro não conta como ativo.</w:t>
      </w:r>
    </w:p>
    <w:p>
      <w:pPr>
        <w:pStyle w:val="Heading2"/>
      </w:pPr>
      <w:r>
        <w:t>6.3 RACI por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CE3"/>
          <w:left w:val="single" w:sz="4" w:space="0" w:color="C9CCE3"/>
          <w:bottom w:val="single" w:sz="4" w:space="0" w:color="C9CCE3"/>
          <w:right w:val="single" w:sz="4" w:space="0" w:color="C9CCE3"/>
          <w:insideH w:val="single" w:sz="4" w:space="0" w:color="C9CCE3"/>
          <w:insideV w:val="single" w:sz="4" w:space="0" w:color="C9CCE3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Etapa</w:t>
            </w:r>
          </w:p>
        </w:tc>
        <w:tc>
          <w:tcPr>
            <w:tcW w:type="dxa" w:w="1928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Coordenador (Ulisses)</w:t>
            </w:r>
          </w:p>
        </w:tc>
        <w:tc>
          <w:tcPr>
            <w:tcW w:type="dxa" w:w="1928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Executivo de Vendas</w:t>
            </w:r>
          </w:p>
        </w:tc>
        <w:tc>
          <w:tcPr>
            <w:tcW w:type="dxa" w:w="1814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Parceiro</w:t>
            </w:r>
          </w:p>
        </w:tc>
        <w:tc>
          <w:tcPr>
            <w:tcW w:type="dxa" w:w="1361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CCO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Prospecção do parceiro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 (quando indicador)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</w:t>
            </w:r>
          </w:p>
        </w:tc>
      </w:tr>
      <w:tr>
        <w:tc>
          <w:tcPr>
            <w:tcW w:type="dxa" w:w="260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Proposta de trabalho</w:t>
            </w:r>
          </w:p>
        </w:tc>
        <w:tc>
          <w:tcPr>
            <w:tcW w:type="dxa" w:w="192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</w:t>
            </w:r>
          </w:p>
        </w:tc>
        <w:tc>
          <w:tcPr>
            <w:tcW w:type="dxa" w:w="192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—</w:t>
            </w:r>
          </w:p>
        </w:tc>
        <w:tc>
          <w:tcPr>
            <w:tcW w:type="dxa" w:w="181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</w:t>
            </w:r>
          </w:p>
        </w:tc>
        <w:tc>
          <w:tcPr>
            <w:tcW w:type="dxa" w:w="136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Credenciamento (contrato)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 (com CLO)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 (assina)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</w:t>
            </w:r>
          </w:p>
        </w:tc>
      </w:tr>
      <w:tr>
        <w:tc>
          <w:tcPr>
            <w:tcW w:type="dxa" w:w="260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Mapeamento da carteira</w:t>
            </w:r>
          </w:p>
        </w:tc>
        <w:tc>
          <w:tcPr>
            <w:tcW w:type="dxa" w:w="192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</w:t>
            </w:r>
          </w:p>
        </w:tc>
        <w:tc>
          <w:tcPr>
            <w:tcW w:type="dxa" w:w="192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</w:t>
            </w:r>
          </w:p>
        </w:tc>
        <w:tc>
          <w:tcPr>
            <w:tcW w:type="dxa" w:w="181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 (fornece a base)</w:t>
            </w:r>
          </w:p>
        </w:tc>
        <w:tc>
          <w:tcPr>
            <w:tcW w:type="dxa" w:w="136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I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Plano conjunto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 (valida)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</w:t>
            </w:r>
          </w:p>
        </w:tc>
      </w:tr>
      <w:tr>
        <w:tc>
          <w:tcPr>
            <w:tcW w:type="dxa" w:w="260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Abertura da conta</w:t>
            </w:r>
          </w:p>
        </w:tc>
        <w:tc>
          <w:tcPr>
            <w:tcW w:type="dxa" w:w="192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</w:t>
            </w:r>
          </w:p>
        </w:tc>
        <w:tc>
          <w:tcPr>
            <w:tcW w:type="dxa" w:w="192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 (conduz do 1º contato)</w:t>
            </w:r>
          </w:p>
        </w:tc>
        <w:tc>
          <w:tcPr>
            <w:tcW w:type="dxa" w:w="181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 (abre a porta)</w:t>
            </w:r>
          </w:p>
        </w:tc>
        <w:tc>
          <w:tcPr>
            <w:tcW w:type="dxa" w:w="136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I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Venda executiva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I (dashboard)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I (dashboard)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</w:t>
            </w:r>
          </w:p>
        </w:tc>
      </w:tr>
      <w:tr>
        <w:tc>
          <w:tcPr>
            <w:tcW w:type="dxa" w:w="260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Gestão da relação / resultado</w:t>
            </w:r>
          </w:p>
        </w:tc>
        <w:tc>
          <w:tcPr>
            <w:tcW w:type="dxa" w:w="192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</w:t>
            </w:r>
          </w:p>
        </w:tc>
        <w:tc>
          <w:tcPr>
            <w:tcW w:type="dxa" w:w="192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</w:t>
            </w:r>
          </w:p>
        </w:tc>
        <w:tc>
          <w:tcPr>
            <w:tcW w:type="dxa" w:w="181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</w:t>
            </w:r>
          </w:p>
        </w:tc>
        <w:tc>
          <w:tcPr>
            <w:tcW w:type="dxa" w:w="136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Inter" w:hAnsi="Inter"/>
          <w:b w:val="0"/>
          <w:i w:val="0"/>
          <w:color w:val="141414"/>
          <w:sz w:val="21"/>
        </w:rPr>
        <w:t>R = responsável executa · A = aprova/decide · C = consultado · I = informado.</w:t>
      </w:r>
    </w:p>
    <w:p>
      <w:pPr>
        <w:pStyle w:val="Heading2"/>
      </w:pPr>
      <w:r>
        <w:t>6.4 Tipos de atividade (taxonomia → Twenty)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 xml:space="preserve">Toda atividade do canal usa um </w:t>
      </w:r>
      <w:r>
        <w:rPr>
          <w:rFonts w:ascii="Inter" w:hAnsi="Inter"/>
          <w:b/>
          <w:i w:val="0"/>
          <w:color w:val="141414"/>
          <w:sz w:val="21"/>
        </w:rPr>
        <w:t>classificador padrão</w:t>
      </w:r>
      <w:r>
        <w:rPr>
          <w:rFonts w:ascii="Inter" w:hAnsi="Inter"/>
          <w:b w:val="0"/>
          <w:i w:val="0"/>
          <w:color w:val="141414"/>
          <w:sz w:val="21"/>
        </w:rPr>
        <w:t xml:space="preserve"> — é o que permite regras de prosseguimento e monitoramento por Agente (mesma taxonomia transversal do modelo de dados do CRM):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CE3"/>
          <w:left w:val="single" w:sz="4" w:space="0" w:color="C9CCE3"/>
          <w:bottom w:val="single" w:sz="4" w:space="0" w:color="C9CCE3"/>
          <w:right w:val="single" w:sz="4" w:space="0" w:color="C9CCE3"/>
          <w:insideH w:val="single" w:sz="4" w:space="0" w:color="C9CCE3"/>
          <w:insideV w:val="single" w:sz="4" w:space="0" w:color="C9CCE3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Tipo de atividade</w:t>
            </w:r>
          </w:p>
        </w:tc>
        <w:tc>
          <w:tcPr>
            <w:tcW w:type="dxa" w:w="4649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Descrição</w:t>
            </w:r>
          </w:p>
        </w:tc>
        <w:tc>
          <w:tcPr>
            <w:tcW w:type="dxa" w:w="2948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Contato efetivo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Conversa real com o parceiro (call/reunião/presencial) — não conta mensagem sem resposta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Atividade no CRM + próximo passo datado</w:t>
            </w:r>
          </w:p>
        </w:tc>
      </w:tr>
      <w:tr>
        <w:tc>
          <w:tcPr>
            <w:tcW w:type="dxa" w:w="204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Reunião de carteira</w:t>
            </w:r>
          </w:p>
        </w:tc>
        <w:tc>
          <w:tcPr>
            <w:tcW w:type="dxa" w:w="4649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Sessão de mapeamento ou revisão de contas-alvo</w:t>
            </w:r>
          </w:p>
        </w:tc>
        <w:tc>
          <w:tcPr>
            <w:tcW w:type="dxa" w:w="294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Ata resumida + atualização do plano conjunto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Reunião de resultado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Revisão de pipeline, conversões e pendências com o parceiro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Ata + ajustes de plano</w:t>
            </w:r>
          </w:p>
        </w:tc>
      </w:tr>
      <w:tr>
        <w:tc>
          <w:tcPr>
            <w:tcW w:type="dxa" w:w="204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Indicação</w:t>
            </w:r>
          </w:p>
        </w:tc>
        <w:tc>
          <w:tcPr>
            <w:tcW w:type="dxa" w:w="4649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Conta apresentada pelo parceiro, com validação</w:t>
            </w:r>
          </w:p>
        </w:tc>
        <w:tc>
          <w:tcPr>
            <w:tcW w:type="dxa" w:w="294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Oportunidade no CRM com origem 'parceiro'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Treinamento / capacitação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Webinar ou sessão técnica sobre soluções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Presença registrada por parceiro</w:t>
            </w:r>
          </w:p>
        </w:tc>
      </w:tr>
      <w:tr>
        <w:tc>
          <w:tcPr>
            <w:tcW w:type="dxa" w:w="204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Evento / palestra</w:t>
            </w:r>
          </w:p>
        </w:tc>
        <w:tc>
          <w:tcPr>
            <w:tcW w:type="dxa" w:w="4649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Encontros presenciais do ciclo 45–60 dias</w:t>
            </w:r>
          </w:p>
        </w:tc>
        <w:tc>
          <w:tcPr>
            <w:tcW w:type="dxa" w:w="294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Lista de presença + follow-up em 5 dias úteis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Comunicação programada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Newsletter, informes, campanhas (não substitui contato efetivo)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Disparo registrado (MKT/Agente)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>6.5 Regras de prosseguimento (definition of done)</w:t>
      </w:r>
    </w:p>
    <w:p>
      <w:pPr>
        <w:pStyle w:val="ListBullet"/>
        <w:spacing w:after="60"/>
      </w:pPr>
      <w:r>
        <w:rPr>
          <w:rFonts w:ascii="Inter" w:hAnsi="Inter"/>
          <w:b w:val="0"/>
          <w:i w:val="0"/>
          <w:color w:val="141414"/>
          <w:sz w:val="21"/>
        </w:rPr>
        <w:t xml:space="preserve">Parceiro só avança a </w:t>
      </w:r>
      <w:r>
        <w:rPr>
          <w:rFonts w:ascii="Inter" w:hAnsi="Inter"/>
          <w:b/>
          <w:i w:val="0"/>
          <w:color w:val="141414"/>
          <w:sz w:val="21"/>
        </w:rPr>
        <w:t>CREDENCIADO</w:t>
      </w:r>
      <w:r>
        <w:rPr>
          <w:rFonts w:ascii="Inter" w:hAnsi="Inter"/>
          <w:b w:val="0"/>
          <w:i w:val="0"/>
          <w:color w:val="141414"/>
          <w:sz w:val="21"/>
        </w:rPr>
        <w:t xml:space="preserve"> com contrato assinado (ZapSign) e onboarding agendado.</w:t>
      </w:r>
    </w:p>
    <w:p>
      <w:pPr>
        <w:pStyle w:val="ListBullet"/>
        <w:spacing w:after="60"/>
      </w:pPr>
      <w:r>
        <w:rPr>
          <w:rFonts w:ascii="Inter" w:hAnsi="Inter"/>
          <w:b w:val="0"/>
          <w:i w:val="0"/>
          <w:color w:val="141414"/>
          <w:sz w:val="21"/>
        </w:rPr>
        <w:t xml:space="preserve">Parceiro só avança a </w:t>
      </w:r>
      <w:r>
        <w:rPr>
          <w:rFonts w:ascii="Inter" w:hAnsi="Inter"/>
          <w:b/>
          <w:i w:val="0"/>
          <w:color w:val="141414"/>
          <w:sz w:val="21"/>
        </w:rPr>
        <w:t>ATIVO</w:t>
      </w:r>
      <w:r>
        <w:rPr>
          <w:rFonts w:ascii="Inter" w:hAnsi="Inter"/>
          <w:b w:val="0"/>
          <w:i w:val="0"/>
          <w:color w:val="141414"/>
          <w:sz w:val="21"/>
        </w:rPr>
        <w:t xml:space="preserve"> com carteira mapeada + plano conjunto formalizado — credenciar sem mapear é cadastro, não parceria.</w:t>
      </w:r>
    </w:p>
    <w:p>
      <w:pPr>
        <w:pStyle w:val="ListBullet"/>
        <w:spacing w:after="60"/>
      </w:pPr>
      <w:r>
        <w:rPr>
          <w:rFonts w:ascii="Inter" w:hAnsi="Inter"/>
          <w:b w:val="0"/>
          <w:i w:val="0"/>
          <w:color w:val="141414"/>
          <w:sz w:val="21"/>
        </w:rPr>
        <w:t xml:space="preserve">Indicação só entra no funil comercial com </w:t>
      </w:r>
      <w:r>
        <w:rPr>
          <w:rFonts w:ascii="Inter" w:hAnsi="Inter"/>
          <w:b/>
          <w:i w:val="0"/>
          <w:color w:val="141414"/>
          <w:sz w:val="21"/>
        </w:rPr>
        <w:t>qualificação mínima</w:t>
      </w:r>
      <w:r>
        <w:rPr>
          <w:rFonts w:ascii="Inter" w:hAnsi="Inter"/>
          <w:b w:val="0"/>
          <w:i w:val="0"/>
          <w:color w:val="141414"/>
          <w:sz w:val="21"/>
        </w:rPr>
        <w:t xml:space="preserve"> (empresa, decisor, contexto e validação do parceiro) — indicação crua não é repassada a executivo.</w:t>
      </w:r>
    </w:p>
    <w:p>
      <w:pPr>
        <w:pStyle w:val="ListBullet"/>
        <w:spacing w:after="60"/>
      </w:pPr>
      <w:r>
        <w:rPr>
          <w:rFonts w:ascii="Inter" w:hAnsi="Inter"/>
          <w:b w:val="0"/>
          <w:i w:val="0"/>
          <w:color w:val="141414"/>
          <w:sz w:val="21"/>
        </w:rPr>
        <w:t xml:space="preserve">Parceiro sem atividade por </w:t>
      </w:r>
      <w:r>
        <w:rPr>
          <w:rFonts w:ascii="Inter" w:hAnsi="Inter"/>
          <w:b/>
          <w:i w:val="0"/>
          <w:color w:val="141414"/>
          <w:sz w:val="21"/>
        </w:rPr>
        <w:t>2 ciclos seguidos</w:t>
      </w:r>
      <w:r>
        <w:rPr>
          <w:rFonts w:ascii="Inter" w:hAnsi="Inter"/>
          <w:b w:val="0"/>
          <w:i w:val="0"/>
          <w:color w:val="141414"/>
          <w:sz w:val="21"/>
        </w:rPr>
        <w:t xml:space="preserve"> cai para reativação; sem resposta à campanha, vai a </w:t>
      </w:r>
      <w:r>
        <w:rPr>
          <w:rFonts w:ascii="Inter" w:hAnsi="Inter"/>
          <w:b/>
          <w:i w:val="0"/>
          <w:color w:val="141414"/>
          <w:sz w:val="21"/>
        </w:rPr>
        <w:t>STAND-BY formal</w:t>
      </w:r>
      <w:r>
        <w:rPr>
          <w:rFonts w:ascii="Inter" w:hAnsi="Inter"/>
          <w:b w:val="0"/>
          <w:i w:val="0"/>
          <w:color w:val="141414"/>
          <w:sz w:val="21"/>
        </w:rPr>
        <w:t xml:space="preserve"> (documentado, sem apagar histórico).</w:t>
      </w:r>
    </w:p>
    <w:p>
      <w:pPr>
        <w:pStyle w:val="Heading2"/>
      </w:pPr>
      <w:r>
        <w:t>6.6 Ferramentas &amp; registro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Twenty CRM</w:t>
      </w:r>
      <w:r>
        <w:rPr>
          <w:rFonts w:ascii="Inter" w:hAnsi="Inter"/>
          <w:b w:val="0"/>
          <w:i w:val="0"/>
          <w:color w:val="141414"/>
          <w:sz w:val="21"/>
        </w:rPr>
        <w:t xml:space="preserve"> — objeto 'parcerias' (cadastro, tier, status), oportunidades com origem 'parceiro', atividades e o dashboard de acompanhamento. </w:t>
      </w:r>
      <w:r>
        <w:rPr>
          <w:rFonts w:ascii="Inter" w:hAnsi="Inter"/>
          <w:b/>
          <w:i w:val="0"/>
          <w:color w:val="141414"/>
          <w:sz w:val="21"/>
        </w:rPr>
        <w:t>Fonte única de verdade do canal.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Dashboard do parceiro</w:t>
      </w:r>
      <w:r>
        <w:rPr>
          <w:rFonts w:ascii="Inter" w:hAnsi="Inter"/>
          <w:b w:val="0"/>
          <w:i w:val="0"/>
          <w:color w:val="141414"/>
          <w:sz w:val="21"/>
        </w:rPr>
        <w:t xml:space="preserve"> — visão filtrada: o parceiro acompanha o passo a passo APENAS das oportunidades da própria carteira (LGPD — Nota nº 5).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ZapSign</w:t>
      </w:r>
      <w:r>
        <w:rPr>
          <w:rFonts w:ascii="Inter" w:hAnsi="Inter"/>
          <w:b w:val="0"/>
          <w:i w:val="0"/>
          <w:color w:val="141414"/>
          <w:sz w:val="21"/>
        </w:rPr>
        <w:t xml:space="preserve"> — assinatura dos contratos de parceria (LA direto e tripartite GS) e planos conjuntos.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PJ360 (GS)</w:t>
      </w:r>
      <w:r>
        <w:rPr>
          <w:rFonts w:ascii="Inter" w:hAnsi="Inter"/>
          <w:b w:val="0"/>
          <w:i w:val="0"/>
          <w:color w:val="141414"/>
          <w:sz w:val="21"/>
        </w:rPr>
        <w:t xml:space="preserve"> — solicitações de soluções GS originadas na rede, sempre com executivo LA conduzindo e espelho no Twenty.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Agentes</w:t>
      </w:r>
      <w:r>
        <w:rPr>
          <w:rFonts w:ascii="Inter" w:hAnsi="Inter"/>
          <w:b w:val="0"/>
          <w:i w:val="0"/>
          <w:color w:val="141414"/>
          <w:sz w:val="21"/>
        </w:rPr>
        <w:t xml:space="preserve"> — régua automatizada do Tier C, alertas de inatividade, cobrança de contato programado e conferência do espelho PJ360↔Twenty.</w:t>
      </w:r>
    </w:p>
    <w:p>
      <w:pPr>
        <w:pStyle w:val="Heading2"/>
      </w:pPr>
      <w:r>
        <w:t>6.7 Calendário de gestão (rituais do canal)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CE3"/>
          <w:left w:val="single" w:sz="4" w:space="0" w:color="C9CCE3"/>
          <w:bottom w:val="single" w:sz="4" w:space="0" w:color="C9CCE3"/>
          <w:right w:val="single" w:sz="4" w:space="0" w:color="C9CCE3"/>
          <w:insideH w:val="single" w:sz="4" w:space="0" w:color="C9CCE3"/>
          <w:insideV w:val="single" w:sz="4" w:space="0" w:color="C9CCE3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211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Ritual</w:t>
            </w:r>
          </w:p>
        </w:tc>
        <w:tc>
          <w:tcPr>
            <w:tcW w:type="dxa" w:w="1701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Frequência</w:t>
            </w:r>
          </w:p>
        </w:tc>
        <w:tc>
          <w:tcPr>
            <w:tcW w:type="dxa" w:w="2494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Participantes</w:t>
            </w:r>
          </w:p>
        </w:tc>
        <w:tc>
          <w:tcPr>
            <w:tcW w:type="dxa" w:w="3231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Pauta</w:t>
            </w:r>
          </w:p>
        </w:tc>
      </w:tr>
      <w:tr>
        <w:tc>
          <w:tcPr>
            <w:tcW w:type="dxa" w:w="221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Contato efetivo Tier A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Quinzenal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Coordenador + parceiro</w:t>
            </w:r>
          </w:p>
        </w:tc>
        <w:tc>
          <w:tcPr>
            <w:tcW w:type="dxa" w:w="323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Pipeline da carteira, contas-alvo, pendências e próxima abertura</w:t>
            </w:r>
          </w:p>
        </w:tc>
      </w:tr>
      <w:tr>
        <w:tc>
          <w:tcPr>
            <w:tcW w:type="dxa" w:w="221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Contato efetivo Tier B</w:t>
            </w:r>
          </w:p>
        </w:tc>
        <w:tc>
          <w:tcPr>
            <w:tcW w:type="dxa" w:w="170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Mensal</w:t>
            </w:r>
          </w:p>
        </w:tc>
        <w:tc>
          <w:tcPr>
            <w:tcW w:type="dxa" w:w="249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Coordenador + parceiro</w:t>
            </w:r>
          </w:p>
        </w:tc>
        <w:tc>
          <w:tcPr>
            <w:tcW w:type="dxa" w:w="323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Status das indicações e destrave de contas</w:t>
            </w:r>
          </w:p>
        </w:tc>
      </w:tr>
      <w:tr>
        <w:tc>
          <w:tcPr>
            <w:tcW w:type="dxa" w:w="221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Régua Tier C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Contínua (automatizada)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Agente + MKT</w:t>
            </w:r>
          </w:p>
        </w:tc>
        <w:tc>
          <w:tcPr>
            <w:tcW w:type="dxa" w:w="323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Conteúdo, convites a eventos e gatilhos de reativação</w:t>
            </w:r>
          </w:p>
        </w:tc>
      </w:tr>
      <w:tr>
        <w:tc>
          <w:tcPr>
            <w:tcW w:type="dxa" w:w="221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Weekly de Parcerias</w:t>
            </w:r>
          </w:p>
        </w:tc>
        <w:tc>
          <w:tcPr>
            <w:tcW w:type="dxa" w:w="170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Terças · 45 min</w:t>
            </w:r>
          </w:p>
        </w:tc>
        <w:tc>
          <w:tcPr>
            <w:tcW w:type="dxa" w:w="249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Ulisses + Cleber Candia</w:t>
            </w:r>
          </w:p>
        </w:tc>
        <w:tc>
          <w:tcPr>
            <w:tcW w:type="dxa" w:w="323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Mapeamento, pipeline de indicados, onboarding, exceções (ritual já fixado no Planejamento v2)</w:t>
            </w:r>
          </w:p>
        </w:tc>
      </w:tr>
      <w:tr>
        <w:tc>
          <w:tcPr>
            <w:tcW w:type="dxa" w:w="221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Reunião de resultado (parceiro)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Mensal (A) / Bimestral (B)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Coordenador + parceiro (+ executivo se houver conta ativa)</w:t>
            </w:r>
          </w:p>
        </w:tc>
        <w:tc>
          <w:tcPr>
            <w:tcW w:type="dxa" w:w="323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Planejamento &amp; resultado: conversões, qualidade da indicação, plano do próximo ciclo</w:t>
            </w:r>
          </w:p>
        </w:tc>
      </w:tr>
      <w:tr>
        <w:tc>
          <w:tcPr>
            <w:tcW w:type="dxa" w:w="221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QBR do canal</w:t>
            </w:r>
          </w:p>
        </w:tc>
        <w:tc>
          <w:tcPr>
            <w:tcW w:type="dxa" w:w="170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Trimestral</w:t>
            </w:r>
          </w:p>
        </w:tc>
        <w:tc>
          <w:tcPr>
            <w:tcW w:type="dxa" w:w="249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CCO + Coordenador + top parceiros</w:t>
            </w:r>
          </w:p>
        </w:tc>
        <w:tc>
          <w:tcPr>
            <w:tcW w:type="dxa" w:w="323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Resultado do trimestre, ranking, metas do próximo ciclo</w:t>
            </w:r>
          </w:p>
        </w:tc>
      </w:tr>
      <w:tr>
        <w:tc>
          <w:tcPr>
            <w:tcW w:type="dxa" w:w="221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Evento / palestra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 cada 45–60 dias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Rede + convidados</w:t>
            </w:r>
          </w:p>
        </w:tc>
        <w:tc>
          <w:tcPr>
            <w:tcW w:type="dxa" w:w="323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Autoridade técnica (Reforma Tributária etc.) + captação e reativação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>6.8 Mecanismos de ativação &amp; incentivos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Eventos e palestras (ciclo 45–60 dias)</w:t>
      </w:r>
      <w:r>
        <w:rPr>
          <w:rFonts w:ascii="Inter" w:hAnsi="Inter"/>
          <w:b w:val="0"/>
          <w:i w:val="0"/>
          <w:color w:val="141414"/>
          <w:sz w:val="21"/>
        </w:rPr>
        <w:t xml:space="preserve"> — encontros sobre a Reforma Tributária (EC 132/23) e temas de autoridade: captam parceiro novo e reativam a base no mesmo movimento (já previsto no Planejamento v2).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Campanha de conta-alvo</w:t>
      </w:r>
      <w:r>
        <w:rPr>
          <w:rFonts w:ascii="Inter" w:hAnsi="Inter"/>
          <w:b w:val="0"/>
          <w:i w:val="0"/>
          <w:color w:val="141414"/>
          <w:sz w:val="21"/>
        </w:rPr>
        <w:t xml:space="preserve"> — o mecanismo de reativação mais eficaz do mercado: em vez de 'vamos retomar?', o coordenador chega com 3 contas da carteira do parceiro já cruzadas com o ICP e uma proposta de abertura pronta.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Kit do Parceiro</w:t>
      </w:r>
      <w:r>
        <w:rPr>
          <w:rFonts w:ascii="Inter" w:hAnsi="Inter"/>
          <w:b w:val="0"/>
          <w:i w:val="0"/>
          <w:color w:val="141414"/>
          <w:sz w:val="21"/>
        </w:rPr>
        <w:t xml:space="preserve"> — one-pagers por solução, FAQs de capacitação (já produzidos), roteiro de abertura e material co-brandável no padrão da marca.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Webinars de capacitação</w:t>
      </w:r>
      <w:r>
        <w:rPr>
          <w:rFonts w:ascii="Inter" w:hAnsi="Inter"/>
          <w:b w:val="0"/>
          <w:i w:val="0"/>
          <w:color w:val="141414"/>
          <w:sz w:val="21"/>
        </w:rPr>
        <w:t xml:space="preserve"> — sessões técnicas mensais curtas; presença alimenta a régua de atividade.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Ranking &amp; reconhecimento</w:t>
      </w:r>
      <w:r>
        <w:rPr>
          <w:rFonts w:ascii="Inter" w:hAnsi="Inter"/>
          <w:b w:val="0"/>
          <w:i w:val="0"/>
          <w:color w:val="141414"/>
          <w:sz w:val="21"/>
        </w:rPr>
        <w:t xml:space="preserve"> — ranking trimestral por indicações convertidas, selo 'Parceiro Certificado LA' e prêmio anual no evento do canal.</w:t>
      </w:r>
      <w:r>
        <w:rPr>
          <w:rFonts w:ascii="Inter" w:hAnsi="Inter"/>
          <w:b/>
          <w:i w:val="0"/>
          <w:color w:val="B9770E"/>
          <w:sz w:val="17"/>
        </w:rPr>
        <w:t xml:space="preserve">  [PARÂMETRO A VALIDAR]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Incentivos escalonados por tier</w:t>
      </w:r>
      <w:r>
        <w:rPr>
          <w:rFonts w:ascii="Inter" w:hAnsi="Inter"/>
          <w:b w:val="0"/>
          <w:i w:val="0"/>
          <w:color w:val="141414"/>
          <w:sz w:val="21"/>
        </w:rPr>
        <w:t xml:space="preserve"> — percentuais progressivos ou bônus por marcos de conversão, sempre por aditivo contratual validado pelo CLO.</w:t>
      </w:r>
      <w:r>
        <w:rPr>
          <w:rFonts w:ascii="Inter" w:hAnsi="Inter"/>
          <w:b/>
          <w:i w:val="0"/>
          <w:color w:val="B9770E"/>
          <w:sz w:val="17"/>
        </w:rPr>
        <w:t xml:space="preserve">  [PARÂMETRO A VALIDAR]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Brindes</w:t>
      </w:r>
      <w:r>
        <w:rPr>
          <w:rFonts w:ascii="Inter" w:hAnsi="Inter"/>
          <w:b w:val="0"/>
          <w:i w:val="0"/>
          <w:color w:val="141414"/>
          <w:sz w:val="21"/>
        </w:rPr>
        <w:t xml:space="preserve"> — permitidos como cortesia institucional de valor simbólico, com política escrita (teto de valor, registro) — brinde não substitui relacionamento e não pode parecer contrapartida (compliance).</w:t>
      </w:r>
    </w:p>
    <w:p>
      <w:pPr>
        <w:pStyle w:val="Heading2"/>
      </w:pPr>
      <w:r>
        <w:t>6.9 Exceções &amp; escalonamento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Pedido de centralização pelo parceiro</w:t>
      </w:r>
      <w:r>
        <w:rPr>
          <w:rFonts w:ascii="Inter" w:hAnsi="Inter"/>
          <w:b w:val="0"/>
          <w:i w:val="0"/>
          <w:color w:val="141414"/>
          <w:sz w:val="21"/>
        </w:rPr>
        <w:t xml:space="preserve"> ('deixa que eu conduzo com meu cliente') — exceção formal: sobe ao CCO, que decide caso a caso; se aprovada, executivo LA participa de TODA interação e o registro segue no CRM. A regra continua sendo LA conduz.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Conflito de origem</w:t>
      </w:r>
      <w:r>
        <w:rPr>
          <w:rFonts w:ascii="Inter" w:hAnsi="Inter"/>
          <w:b w:val="0"/>
          <w:i w:val="0"/>
          <w:color w:val="141414"/>
          <w:sz w:val="21"/>
        </w:rPr>
        <w:t xml:space="preserve"> (lead pago × indicação de parceiro) — vale a origem registrada primeiro no CRM; empate real sobe ao CCO (Nota nº 7).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Parceiro do perfil jurídico</w:t>
      </w:r>
      <w:r>
        <w:rPr>
          <w:rFonts w:ascii="Inter" w:hAnsi="Inter"/>
          <w:b w:val="0"/>
          <w:i w:val="0"/>
          <w:color w:val="141414"/>
          <w:sz w:val="21"/>
        </w:rPr>
        <w:t xml:space="preserve"> — credenciamento condicionado ao parecer do CLO sobre o modelo de remuneração (Nota nº 2).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Desligamento / distrato</w:t>
      </w:r>
      <w:r>
        <w:rPr>
          <w:rFonts w:ascii="Inter" w:hAnsi="Inter"/>
          <w:b w:val="0"/>
          <w:i w:val="0"/>
          <w:color w:val="141414"/>
          <w:sz w:val="21"/>
        </w:rPr>
        <w:t xml:space="preserve"> — comunicação formal, corte de acesso ao dashboard no mesmo dia e tratamento das oportunidades em andamento definido pelo CCO.</w:t>
      </w:r>
    </w:p>
    <w:p>
      <w:pPr>
        <w:pStyle w:val="Heading1"/>
      </w:pPr>
      <w:r>
        <w:t>Seção 7 — Riscos &amp; Controles — Notas do Mentor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 xml:space="preserve">Esta seção concentra </w:t>
      </w:r>
      <w:r>
        <w:rPr>
          <w:rFonts w:ascii="Inter" w:hAnsi="Inter"/>
          <w:b/>
          <w:i w:val="0"/>
          <w:color w:val="141414"/>
          <w:sz w:val="21"/>
        </w:rPr>
        <w:t>todas as Notas do Mentor</w:t>
      </w:r>
      <w:r>
        <w:rPr>
          <w:rFonts w:ascii="Inter" w:hAnsi="Inter"/>
          <w:b w:val="0"/>
          <w:i w:val="0"/>
          <w:color w:val="141414"/>
          <w:sz w:val="21"/>
        </w:rPr>
        <w:t xml:space="preserve"> da área, classificadas em </w:t>
      </w:r>
      <w:r>
        <w:rPr>
          <w:rFonts w:ascii="Inter" w:hAnsi="Inter"/>
          <w:b/>
          <w:i w:val="0"/>
          <w:color w:val="C0392B"/>
          <w:sz w:val="21"/>
        </w:rPr>
        <w:t>CRÍTICO</w:t>
      </w:r>
      <w:r>
        <w:rPr>
          <w:rFonts w:ascii="Inter" w:hAnsi="Inter"/>
          <w:b w:val="0"/>
          <w:i w:val="0"/>
          <w:color w:val="141414"/>
          <w:sz w:val="21"/>
        </w:rPr>
        <w:t xml:space="preserve"> / </w:t>
      </w:r>
      <w:r>
        <w:rPr>
          <w:rFonts w:ascii="Inter" w:hAnsi="Inter"/>
          <w:b/>
          <w:i w:val="0"/>
          <w:color w:val="B9770E"/>
          <w:sz w:val="21"/>
        </w:rPr>
        <w:t>ATENÇÃO</w:t>
      </w:r>
      <w:r>
        <w:rPr>
          <w:rFonts w:ascii="Inter" w:hAnsi="Inter"/>
          <w:b w:val="0"/>
          <w:i w:val="0"/>
          <w:color w:val="141414"/>
          <w:sz w:val="21"/>
        </w:rPr>
        <w:t xml:space="preserve"> / </w:t>
      </w:r>
      <w:r>
        <w:rPr>
          <w:rFonts w:ascii="Inter" w:hAnsi="Inter"/>
          <w:b/>
          <w:i w:val="0"/>
          <w:color w:val="1F618D"/>
          <w:sz w:val="21"/>
        </w:rPr>
        <w:t>CONTROLE</w:t>
      </w:r>
      <w:r>
        <w:rPr>
          <w:rFonts w:ascii="Inter" w:hAnsi="Inter"/>
          <w:b w:val="0"/>
          <w:i w:val="0"/>
          <w:color w:val="141414"/>
          <w:sz w:val="21"/>
        </w:rPr>
        <w:t xml:space="preserve"> / </w:t>
      </w:r>
      <w:r>
        <w:rPr>
          <w:rFonts w:ascii="Inter" w:hAnsi="Inter"/>
          <w:b/>
          <w:i w:val="0"/>
          <w:color w:val="117A65"/>
          <w:sz w:val="21"/>
        </w:rPr>
        <w:t>ESTRATÉGICO</w:t>
      </w:r>
      <w:r>
        <w:rPr>
          <w:rFonts w:ascii="Inter" w:hAnsi="Inter"/>
          <w:b w:val="0"/>
          <w:i w:val="0"/>
          <w:color w:val="141414"/>
          <w:sz w:val="21"/>
        </w:rPr>
        <w:t>. Painel consolidado no Anexo 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BEDF"/>
          <w:left w:val="single" w:sz="6" w:space="0" w:color="B9BEDF"/>
          <w:bottom w:val="single" w:sz="6" w:space="0" w:color="B9BEDF"/>
          <w:right w:val="single" w:sz="6" w:space="0" w:color="B9BEDF"/>
          <w:insideH w:val="single" w:sz="6" w:space="0" w:color="B9BEDF"/>
          <w:insideV w:val="single" w:sz="6" w:space="0" w:color="B9BEDF"/>
        </w:tblBorders>
      </w:tblPr>
      <w:tblGrid>
        <w:gridCol w:w="9638"/>
      </w:tblGrid>
      <w:tr>
        <w:tc>
          <w:tcPr>
            <w:tcW w:type="dxa" w:w="9638"/>
            <w:shd w:val="clear" w:fill="F5F6FC"/>
          </w:tcPr>
          <w:p>
            <w:pPr>
              <w:spacing w:after="80" w:before="40"/>
            </w:pPr>
            <w:r>
              <w:rPr>
                <w:rFonts w:ascii="Montserrat" w:hAnsi="Montserrat"/>
                <w:b/>
                <w:i w:val="0"/>
                <w:color w:val="010860"/>
                <w:sz w:val="19"/>
              </w:rPr>
              <w:t>NOTA DO MENTOR Nº 1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   </w:t>
            </w:r>
            <w:r>
              <w:rPr>
                <w:rFonts w:ascii="Montserrat" w:hAnsi="Montserrat"/>
                <w:b/>
                <w:i w:val="0"/>
                <w:color w:val="C0392B"/>
                <w:sz w:val="19"/>
              </w:rPr>
              <w:t>CRÍTICO</w:t>
            </w:r>
            <w:r>
              <w:rPr>
                <w:rFonts w:ascii="Montserrat" w:hAnsi="Montserrat"/>
                <w:b/>
                <w:i w:val="0"/>
                <w:color w:val="141414"/>
                <w:sz w:val="19"/>
              </w:rPr>
              <w:t xml:space="preserve"> — A matemática da cadência quinzenal não fecha para uma célula única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Contato efetivo quinzenal com 100+ parceiros =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±10 contatos reais por dia útil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>, todos os dias, para um único coordenador — antes de prospecção, credenciamento, mapeamento, planos e reuniões internas. A premissa, aplicada literalmente, quebra no primeiro mês e vira contato de fachada (mensagem sem conversa).</w:t>
            </w:r>
          </w:p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141414"/>
                <w:sz w:val="19"/>
              </w:rPr>
              <w:t>Recomendação: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adotar a régua por tier (A quinzenal · B mensal · C automatizado) já na largada — ela preserva a intenção da gestão com agenda exequível — e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planejar 1 analista de parcerias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quando a base ativa cruzar ~60 parceiros (mesma lógica do analista comercial do Cleber). O playbook está desenhado para escalar com essa contratação sem retrabalho.</w:t>
            </w:r>
          </w:p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BEDF"/>
          <w:left w:val="single" w:sz="6" w:space="0" w:color="B9BEDF"/>
          <w:bottom w:val="single" w:sz="6" w:space="0" w:color="B9BEDF"/>
          <w:right w:val="single" w:sz="6" w:space="0" w:color="B9BEDF"/>
          <w:insideH w:val="single" w:sz="6" w:space="0" w:color="B9BEDF"/>
          <w:insideV w:val="single" w:sz="6" w:space="0" w:color="B9BEDF"/>
        </w:tblBorders>
      </w:tblPr>
      <w:tblGrid>
        <w:gridCol w:w="9638"/>
      </w:tblGrid>
      <w:tr>
        <w:tc>
          <w:tcPr>
            <w:tcW w:type="dxa" w:w="9638"/>
            <w:shd w:val="clear" w:fill="F5F6FC"/>
          </w:tcPr>
          <w:p>
            <w:pPr>
              <w:spacing w:after="80" w:before="40"/>
            </w:pPr>
            <w:r>
              <w:rPr>
                <w:rFonts w:ascii="Montserrat" w:hAnsi="Montserrat"/>
                <w:b/>
                <w:i w:val="0"/>
                <w:color w:val="010860"/>
                <w:sz w:val="19"/>
              </w:rPr>
              <w:t>NOTA DO MENTOR Nº 2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   </w:t>
            </w:r>
            <w:r>
              <w:rPr>
                <w:rFonts w:ascii="Montserrat" w:hAnsi="Montserrat"/>
                <w:b/>
                <w:i w:val="0"/>
                <w:color w:val="C0392B"/>
                <w:sz w:val="19"/>
              </w:rPr>
              <w:t>CRÍTICO</w:t>
            </w:r>
            <w:r>
              <w:rPr>
                <w:rFonts w:ascii="Montserrat" w:hAnsi="Montserrat"/>
                <w:b/>
                <w:i w:val="0"/>
                <w:color w:val="141414"/>
                <w:sz w:val="19"/>
              </w:rPr>
              <w:t xml:space="preserve"> — Escritórios jurídicos remunerados por indicação — risco ético OAB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O Código de Ética da OAB veda a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captação de clientela e a partilha de honorários com quem capta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— advogado receber percentual por indicar cliente pode configurar infração para o parceiro E expor a L. Santos Sociedade de Advocacia. O perfil 'escritórios jurídicos' é foco declarado do canal, então isso não é detalhe: é pré-requisito.</w:t>
            </w:r>
          </w:p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141414"/>
                <w:sz w:val="19"/>
              </w:rPr>
              <w:t>Recomendação: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antes de credenciar qualquer banca, o CLO (Alexandre) valida o modelo — alternativas usuais: parceria institucional sem remuneração por indicação, atuação conjunta com honorários próprios de cada banca no contrato do cliente, ou remuneração à pessoa jurídica de consultoria (não à sociedade de advogados).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Nenhum contrato do perfil jurídico assina sem esse parecer.</w:t>
            </w:r>
          </w:p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BEDF"/>
          <w:left w:val="single" w:sz="6" w:space="0" w:color="B9BEDF"/>
          <w:bottom w:val="single" w:sz="6" w:space="0" w:color="B9BEDF"/>
          <w:right w:val="single" w:sz="6" w:space="0" w:color="B9BEDF"/>
          <w:insideH w:val="single" w:sz="6" w:space="0" w:color="B9BEDF"/>
          <w:insideV w:val="single" w:sz="6" w:space="0" w:color="B9BEDF"/>
        </w:tblBorders>
      </w:tblPr>
      <w:tblGrid>
        <w:gridCol w:w="9638"/>
      </w:tblGrid>
      <w:tr>
        <w:tc>
          <w:tcPr>
            <w:tcW w:type="dxa" w:w="9638"/>
            <w:shd w:val="clear" w:fill="F5F6FC"/>
          </w:tcPr>
          <w:p>
            <w:pPr>
              <w:spacing w:after="80" w:before="40"/>
            </w:pPr>
            <w:r>
              <w:rPr>
                <w:rFonts w:ascii="Montserrat" w:hAnsi="Montserrat"/>
                <w:b/>
                <w:i w:val="0"/>
                <w:color w:val="010860"/>
                <w:sz w:val="19"/>
              </w:rPr>
              <w:t>NOTA DO MENTOR Nº 3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   </w:t>
            </w:r>
            <w:r>
              <w:rPr>
                <w:rFonts w:ascii="Montserrat" w:hAnsi="Montserrat"/>
                <w:b/>
                <w:i w:val="0"/>
                <w:color w:val="B9770E"/>
                <w:sz w:val="19"/>
              </w:rPr>
              <w:t>ATENÇÃO</w:t>
            </w:r>
            <w:r>
              <w:rPr>
                <w:rFonts w:ascii="Montserrat" w:hAnsi="Montserrat"/>
                <w:b/>
                <w:i w:val="0"/>
                <w:color w:val="141414"/>
                <w:sz w:val="19"/>
              </w:rPr>
              <w:t xml:space="preserve"> — Sem régua de atividade, '100+ ativos' vira meta de papel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Os contratos vigentes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não preveem metas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(produtos de difícil metrificação — premissa da gestão). O risco: contar como 'ativo' quem apenas assinou. A régua da Seção 5 resolve medindo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comportamento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(reunião de carteira, plano vigente, indicação no trimestre) em vez de receita — enforcement por relacionamento e acesso (eventos, ranking, prioridade de agenda), não por punição contratual.</w:t>
            </w:r>
          </w:p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BEDF"/>
          <w:left w:val="single" w:sz="6" w:space="0" w:color="B9BEDF"/>
          <w:bottom w:val="single" w:sz="6" w:space="0" w:color="B9BEDF"/>
          <w:right w:val="single" w:sz="6" w:space="0" w:color="B9BEDF"/>
          <w:insideH w:val="single" w:sz="6" w:space="0" w:color="B9BEDF"/>
          <w:insideV w:val="single" w:sz="6" w:space="0" w:color="B9BEDF"/>
        </w:tblBorders>
      </w:tblPr>
      <w:tblGrid>
        <w:gridCol w:w="9638"/>
      </w:tblGrid>
      <w:tr>
        <w:tc>
          <w:tcPr>
            <w:tcW w:type="dxa" w:w="9638"/>
            <w:shd w:val="clear" w:fill="F5F6FC"/>
          </w:tcPr>
          <w:p>
            <w:pPr>
              <w:spacing w:after="80" w:before="40"/>
            </w:pPr>
            <w:r>
              <w:rPr>
                <w:rFonts w:ascii="Montserrat" w:hAnsi="Montserrat"/>
                <w:b/>
                <w:i w:val="0"/>
                <w:color w:val="010860"/>
                <w:sz w:val="19"/>
              </w:rPr>
              <w:t>NOTA DO MENTOR Nº 4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   </w:t>
            </w:r>
            <w:r>
              <w:rPr>
                <w:rFonts w:ascii="Montserrat" w:hAnsi="Montserrat"/>
                <w:b/>
                <w:i w:val="0"/>
                <w:color w:val="B9770E"/>
                <w:sz w:val="19"/>
              </w:rPr>
              <w:t>ATENÇÃO</w:t>
            </w:r>
            <w:r>
              <w:rPr>
                <w:rFonts w:ascii="Montserrat" w:hAnsi="Montserrat"/>
                <w:b/>
                <w:i w:val="0"/>
                <w:color w:val="141414"/>
                <w:sz w:val="19"/>
              </w:rPr>
              <w:t xml:space="preserve"> — Este playbook endurece a regra vs. Planejamento v2 — alinhar na próxima revisão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O Planejamento v2 admite fechamento pelo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'time próprio do parceiro capacitado'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e a matriz de perfis prevê 'venda própria acompanhada' para representantes. A premissa atual da gestão é mais dura —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ação comercial 100% da equipe LA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— e este documento a adota como regra.</w:t>
            </w:r>
          </w:p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141414"/>
                <w:sz w:val="19"/>
              </w:rPr>
              <w:t>Recomendação: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registrar a mudança e atualizar a Seção 11/matriz do Planejamento na próxima revisão, para não coexistirem duas regras oficiais. Pedidos de centralização passam a ser exceção formal (Seção 6.9).</w:t>
            </w:r>
          </w:p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BEDF"/>
          <w:left w:val="single" w:sz="6" w:space="0" w:color="B9BEDF"/>
          <w:bottom w:val="single" w:sz="6" w:space="0" w:color="B9BEDF"/>
          <w:right w:val="single" w:sz="6" w:space="0" w:color="B9BEDF"/>
          <w:insideH w:val="single" w:sz="6" w:space="0" w:color="B9BEDF"/>
          <w:insideV w:val="single" w:sz="6" w:space="0" w:color="B9BEDF"/>
        </w:tblBorders>
      </w:tblPr>
      <w:tblGrid>
        <w:gridCol w:w="9638"/>
      </w:tblGrid>
      <w:tr>
        <w:tc>
          <w:tcPr>
            <w:tcW w:type="dxa" w:w="9638"/>
            <w:shd w:val="clear" w:fill="F5F6FC"/>
          </w:tcPr>
          <w:p>
            <w:pPr>
              <w:spacing w:after="80" w:before="40"/>
            </w:pPr>
            <w:r>
              <w:rPr>
                <w:rFonts w:ascii="Montserrat" w:hAnsi="Montserrat"/>
                <w:b/>
                <w:i w:val="0"/>
                <w:color w:val="010860"/>
                <w:sz w:val="19"/>
              </w:rPr>
              <w:t>NOTA DO MENTOR Nº 5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   </w:t>
            </w:r>
            <w:r>
              <w:rPr>
                <w:rFonts w:ascii="Montserrat" w:hAnsi="Montserrat"/>
                <w:b/>
                <w:i w:val="0"/>
                <w:color w:val="B9770E"/>
                <w:sz w:val="19"/>
              </w:rPr>
              <w:t>ATENÇÃO</w:t>
            </w:r>
            <w:r>
              <w:rPr>
                <w:rFonts w:ascii="Montserrat" w:hAnsi="Montserrat"/>
                <w:b/>
                <w:i w:val="0"/>
                <w:color w:val="141414"/>
                <w:sz w:val="19"/>
              </w:rPr>
              <w:t xml:space="preserve"> — Dashboard do parceiro: transparência com cerca de LGPD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Dar ao parceiro visão 'passo a passo completo' é diferencial — e risco, se vazar além da carteira dele. O dashboard deve ser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filtrado por parceiro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(somente as próprias contas), sem dados de outros parceiros nem detalhes sensíveis do cliente além do necessário; acesso é revogado no distrato no mesmo dia. Requisito para a TI antes do go-live do dashboard.</w:t>
            </w:r>
          </w:p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BEDF"/>
          <w:left w:val="single" w:sz="6" w:space="0" w:color="B9BEDF"/>
          <w:bottom w:val="single" w:sz="6" w:space="0" w:color="B9BEDF"/>
          <w:right w:val="single" w:sz="6" w:space="0" w:color="B9BEDF"/>
          <w:insideH w:val="single" w:sz="6" w:space="0" w:color="B9BEDF"/>
          <w:insideV w:val="single" w:sz="6" w:space="0" w:color="B9BEDF"/>
        </w:tblBorders>
      </w:tblPr>
      <w:tblGrid>
        <w:gridCol w:w="9638"/>
      </w:tblGrid>
      <w:tr>
        <w:tc>
          <w:tcPr>
            <w:tcW w:type="dxa" w:w="9638"/>
            <w:shd w:val="clear" w:fill="F5F6FC"/>
          </w:tcPr>
          <w:p>
            <w:pPr>
              <w:spacing w:after="80" w:before="40"/>
            </w:pPr>
            <w:r>
              <w:rPr>
                <w:rFonts w:ascii="Montserrat" w:hAnsi="Montserrat"/>
                <w:b/>
                <w:i w:val="0"/>
                <w:color w:val="010860"/>
                <w:sz w:val="19"/>
              </w:rPr>
              <w:t>NOTA DO MENTOR Nº 6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   </w:t>
            </w:r>
            <w:r>
              <w:rPr>
                <w:rFonts w:ascii="Montserrat" w:hAnsi="Montserrat"/>
                <w:b/>
                <w:i w:val="0"/>
                <w:color w:val="1F618D"/>
                <w:sz w:val="19"/>
              </w:rPr>
              <w:t>CONTROLE</w:t>
            </w:r>
            <w:r>
              <w:rPr>
                <w:rFonts w:ascii="Montserrat" w:hAnsi="Montserrat"/>
                <w:b/>
                <w:i w:val="0"/>
                <w:color w:val="141414"/>
                <w:sz w:val="19"/>
              </w:rPr>
              <w:t xml:space="preserve"> — A base do canal ainda não existe no CRM — fundação antes de meta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A auditoria encontrou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82 parceiros em contrato no Drive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, mas o objeto 'parcerias' do Twenty está praticamente vazio (ex.: PAR-105 sem CNPJ/contatos). Sem cadastro completo — com tier, status, contrato vinculado e contatos — não há régua, não há dashboard e não há KPI confiável.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Primeira entrega do roadmap (M1), pré-requisito de todas as outras.</w:t>
            </w:r>
          </w:p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BEDF"/>
          <w:left w:val="single" w:sz="6" w:space="0" w:color="B9BEDF"/>
          <w:bottom w:val="single" w:sz="6" w:space="0" w:color="B9BEDF"/>
          <w:right w:val="single" w:sz="6" w:space="0" w:color="B9BEDF"/>
          <w:insideH w:val="single" w:sz="6" w:space="0" w:color="B9BEDF"/>
          <w:insideV w:val="single" w:sz="6" w:space="0" w:color="B9BEDF"/>
        </w:tblBorders>
      </w:tblPr>
      <w:tblGrid>
        <w:gridCol w:w="9638"/>
      </w:tblGrid>
      <w:tr>
        <w:tc>
          <w:tcPr>
            <w:tcW w:type="dxa" w:w="9638"/>
            <w:shd w:val="clear" w:fill="F5F6FC"/>
          </w:tcPr>
          <w:p>
            <w:pPr>
              <w:spacing w:after="80" w:before="40"/>
            </w:pPr>
            <w:r>
              <w:rPr>
                <w:rFonts w:ascii="Montserrat" w:hAnsi="Montserrat"/>
                <w:b/>
                <w:i w:val="0"/>
                <w:color w:val="010860"/>
                <w:sz w:val="19"/>
              </w:rPr>
              <w:t>NOTA DO MENTOR Nº 7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   </w:t>
            </w:r>
            <w:r>
              <w:rPr>
                <w:rFonts w:ascii="Montserrat" w:hAnsi="Montserrat"/>
                <w:b/>
                <w:i w:val="0"/>
                <w:color w:val="1F618D"/>
                <w:sz w:val="19"/>
              </w:rPr>
              <w:t>CONTROLE</w:t>
            </w:r>
            <w:r>
              <w:rPr>
                <w:rFonts w:ascii="Montserrat" w:hAnsi="Montserrat"/>
                <w:b/>
                <w:i w:val="0"/>
                <w:color w:val="141414"/>
                <w:sz w:val="19"/>
              </w:rPr>
              <w:t xml:space="preserve"> — Origem da indicação: a regra de atribuição precisa ser inequívoca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Dois pontos de disciplina: (i) a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exceção do executivo indicador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fica registrada no cadastro do parceiro (origem) para auditoria — sem registro, a exceção vira regra invisível e mina o roteamento por compliance; (ii) no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conflito lead pago × indicação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>, vale a origem registrada primeiro no CRM — protege a comissão do canal certo e evita atrito entre Bruno e Ulisses.</w:t>
            </w:r>
          </w:p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BEDF"/>
          <w:left w:val="single" w:sz="6" w:space="0" w:color="B9BEDF"/>
          <w:bottom w:val="single" w:sz="6" w:space="0" w:color="B9BEDF"/>
          <w:right w:val="single" w:sz="6" w:space="0" w:color="B9BEDF"/>
          <w:insideH w:val="single" w:sz="6" w:space="0" w:color="B9BEDF"/>
          <w:insideV w:val="single" w:sz="6" w:space="0" w:color="B9BEDF"/>
        </w:tblBorders>
      </w:tblPr>
      <w:tblGrid>
        <w:gridCol w:w="9638"/>
      </w:tblGrid>
      <w:tr>
        <w:tc>
          <w:tcPr>
            <w:tcW w:type="dxa" w:w="9638"/>
            <w:shd w:val="clear" w:fill="F5F6FC"/>
          </w:tcPr>
          <w:p>
            <w:pPr>
              <w:spacing w:after="80" w:before="40"/>
            </w:pPr>
            <w:r>
              <w:rPr>
                <w:rFonts w:ascii="Montserrat" w:hAnsi="Montserrat"/>
                <w:b/>
                <w:i w:val="0"/>
                <w:color w:val="010860"/>
                <w:sz w:val="19"/>
              </w:rPr>
              <w:t>NOTA DO MENTOR Nº 8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   </w:t>
            </w:r>
            <w:r>
              <w:rPr>
                <w:rFonts w:ascii="Montserrat" w:hAnsi="Montserrat"/>
                <w:b/>
                <w:i w:val="0"/>
                <w:color w:val="117A65"/>
                <w:sz w:val="19"/>
              </w:rPr>
              <w:t>ESTRATÉGICO</w:t>
            </w:r>
            <w:r>
              <w:rPr>
                <w:rFonts w:ascii="Montserrat" w:hAnsi="Montserrat"/>
                <w:b/>
                <w:i w:val="0"/>
                <w:color w:val="141414"/>
                <w:sz w:val="19"/>
              </w:rPr>
              <w:t xml:space="preserve"> — O parceiro é também um sensor de retenção (CS)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O parceiro (contador, consultor) costuma saber da insatisfação do cliente </w:t>
            </w:r>
            <w:r>
              <w:rPr>
                <w:rFonts w:ascii="Inter" w:hAnsi="Inter"/>
                <w:b/>
                <w:i w:val="0"/>
                <w:color w:val="141414"/>
                <w:sz w:val="19"/>
              </w:rPr>
              <w:t>antes</w:t>
            </w:r>
            <w:r>
              <w:rPr>
                <w:rFonts w:ascii="Inter" w:hAnsi="Inter"/>
                <w:b w:val="0"/>
                <w:i w:val="0"/>
                <w:color w:val="141414"/>
                <w:sz w:val="19"/>
              </w:rPr>
              <w:t xml:space="preserve"> da Lucro Ativo. Incluir na reunião de resultado uma pergunta padrão de saúde das contas ativas da carteira e alimentar o modelo de Customer Success (dono em aberto no Comercial) transforma o canal em radar de churn — valor que nenhum concorrente que trata parceiro como 'lista de indicação' captura.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>Seção 8 — Roadmap &amp; Maturidade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>O roadmap preserva as 4 fases do Plano Ulisses (Planejamento v2, Seção 11.4) e acrescenta os marcos de maturidade do canal: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CE3"/>
          <w:left w:val="single" w:sz="4" w:space="0" w:color="C9CCE3"/>
          <w:bottom w:val="single" w:sz="4" w:space="0" w:color="C9CCE3"/>
          <w:right w:val="single" w:sz="4" w:space="0" w:color="C9CCE3"/>
          <w:insideH w:val="single" w:sz="4" w:space="0" w:color="C9CCE3"/>
          <w:insideV w:val="single" w:sz="4" w:space="0" w:color="C9CCE3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Fase</w:t>
            </w:r>
          </w:p>
        </w:tc>
        <w:tc>
          <w:tcPr>
            <w:tcW w:type="dxa" w:w="1474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Janela proposta</w:t>
            </w:r>
          </w:p>
        </w:tc>
        <w:tc>
          <w:tcPr>
            <w:tcW w:type="dxa" w:w="3628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Entregas</w:t>
            </w:r>
          </w:p>
        </w:tc>
        <w:tc>
          <w:tcPr>
            <w:tcW w:type="dxa" w:w="2154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Marco de maturidade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F1 — Fundação &amp; Ativação da Base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Semanas 1–2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Cadastro dos 82 no Twenty (tier/status), diagnóstico das parcerias GS/LA, alinhamento de percentuais, reciclagem de inativos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M1: base 100% cadastrada e classificada</w:t>
            </w:r>
          </w:p>
        </w:tc>
      </w:tr>
      <w:tr>
        <w:tc>
          <w:tcPr>
            <w:tcW w:type="dxa" w:w="238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F2 — Prospecção Ativa</w:t>
            </w:r>
          </w:p>
        </w:tc>
        <w:tc>
          <w:tcPr>
            <w:tcW w:type="dxa" w:w="147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Semanas 3–6</w:t>
            </w:r>
          </w:p>
        </w:tc>
        <w:tc>
          <w:tcPr>
            <w:tcW w:type="dxa" w:w="362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Entidades de classe (SESCON, ACIs, OABs), contabilidades e consultorias em SC, RS, PR, SP e MG; parecer OAB do perfil jurídico</w:t>
            </w:r>
          </w:p>
        </w:tc>
        <w:tc>
          <w:tcPr>
            <w:tcW w:type="dxa" w:w="215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M2: régua por tier operante (≥90% aderência)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F3 — Capacitação &amp; Onboarding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Semanas 7–8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Kit do parceiro (one-pagers, FAQs, formulários), webinars, treinamentos técnicos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M3: dashboard do parceiro no ar (visão filtrada)</w:t>
            </w:r>
          </w:p>
        </w:tc>
      </w:tr>
      <w:tr>
        <w:tc>
          <w:tcPr>
            <w:tcW w:type="dxa" w:w="238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F4 — Roteamento &amp; Rotina</w:t>
            </w:r>
          </w:p>
        </w:tc>
        <w:tc>
          <w:tcPr>
            <w:tcW w:type="dxa" w:w="147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Contínuo</w:t>
            </w:r>
          </w:p>
        </w:tc>
        <w:tc>
          <w:tcPr>
            <w:tcW w:type="dxa" w:w="362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Registro, recepção e roteamento de indicações; reuniões de resultado; QBR; eventos 45–60 dias</w:t>
            </w:r>
          </w:p>
        </w:tc>
        <w:tc>
          <w:tcPr>
            <w:tcW w:type="dxa" w:w="2154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M4: 100+ parceiros ativos pela régua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 xml:space="preserve">As janelas em semanas seguem o Plano Ulisses original e são </w:t>
      </w:r>
      <w:r>
        <w:rPr>
          <w:rFonts w:ascii="Inter" w:hAnsi="Inter"/>
          <w:b/>
          <w:i w:val="0"/>
          <w:color w:val="141414"/>
          <w:sz w:val="21"/>
        </w:rPr>
        <w:t>PARÂMETRO A VALIDAR</w:t>
      </w:r>
      <w:r>
        <w:rPr>
          <w:rFonts w:ascii="Inter" w:hAnsi="Inter"/>
          <w:b w:val="0"/>
          <w:i w:val="0"/>
          <w:color w:val="141414"/>
          <w:sz w:val="21"/>
        </w:rPr>
        <w:t xml:space="preserve"> contra a agenda real do coordenador — na régua por tier, F1 e F2 podem correr em paralelo parcial (reativação Tier A enquanto prospecta).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t>Anexo A — Painel Consolidado das Notas do Mentor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CE3"/>
          <w:left w:val="single" w:sz="4" w:space="0" w:color="C9CCE3"/>
          <w:bottom w:val="single" w:sz="4" w:space="0" w:color="C9CCE3"/>
          <w:right w:val="single" w:sz="4" w:space="0" w:color="C9CCE3"/>
          <w:insideH w:val="single" w:sz="4" w:space="0" w:color="C9CCE3"/>
          <w:insideV w:val="single" w:sz="4" w:space="0" w:color="C9CCE3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Nº</w:t>
            </w:r>
          </w:p>
        </w:tc>
        <w:tc>
          <w:tcPr>
            <w:tcW w:type="dxa" w:w="1361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Classif.</w:t>
            </w:r>
          </w:p>
        </w:tc>
        <w:tc>
          <w:tcPr>
            <w:tcW w:type="dxa" w:w="2608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Tema</w:t>
            </w:r>
          </w:p>
        </w:tc>
        <w:tc>
          <w:tcPr>
            <w:tcW w:type="dxa" w:w="5102"/>
            <w:shd w:val="clear" w:fill="010860"/>
          </w:tcPr>
          <w:p>
            <w:pPr>
              <w:spacing w:after="40" w:before="40"/>
            </w:pPr>
            <w:r>
              <w:rPr>
                <w:rFonts w:ascii="Montserrat" w:hAnsi="Montserrat"/>
                <w:b/>
                <w:i w:val="0"/>
                <w:color w:val="FFFFFF"/>
                <w:sz w:val="17"/>
              </w:rPr>
              <w:t>Recomendação-chave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CRÍTICO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Matemática da cadência quinzenal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Régua por tier (A/B/C) + analista de parcerias ao cruzar ~60 ativos</w:t>
            </w:r>
          </w:p>
        </w:tc>
      </w:tr>
      <w:tr>
        <w:tc>
          <w:tcPr>
            <w:tcW w:type="dxa" w:w="567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2</w:t>
            </w:r>
          </w:p>
        </w:tc>
        <w:tc>
          <w:tcPr>
            <w:tcW w:type="dxa" w:w="136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CRÍTICO</w:t>
            </w:r>
          </w:p>
        </w:tc>
        <w:tc>
          <w:tcPr>
            <w:tcW w:type="dxa" w:w="260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Perfil jurídico × ética OAB</w:t>
            </w:r>
          </w:p>
        </w:tc>
        <w:tc>
          <w:tcPr>
            <w:tcW w:type="dxa" w:w="5102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Parecer do CLO antes de credenciar qualquer banca; modelos alternativos de remuneração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ATENÇÃO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Definição de 'parceiro ativo'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Régua de comportamento (reunião, plano, indicação/trimestre) — contratos não têm metas</w:t>
            </w:r>
          </w:p>
        </w:tc>
      </w:tr>
      <w:tr>
        <w:tc>
          <w:tcPr>
            <w:tcW w:type="dxa" w:w="567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4</w:t>
            </w:r>
          </w:p>
        </w:tc>
        <w:tc>
          <w:tcPr>
            <w:tcW w:type="dxa" w:w="136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ATENÇÃO</w:t>
            </w:r>
          </w:p>
        </w:tc>
        <w:tc>
          <w:tcPr>
            <w:tcW w:type="dxa" w:w="260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Divergência com Planejamento v2</w:t>
            </w:r>
          </w:p>
        </w:tc>
        <w:tc>
          <w:tcPr>
            <w:tcW w:type="dxa" w:w="5102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Atualizar Seção 11/matriz na próxima revisão; centralização vira exceção formal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ATENÇÃO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Dashboard × LGPD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Visão filtrada por parceiro; corte de acesso no distrato; requisito antes do go-live</w:t>
            </w:r>
          </w:p>
        </w:tc>
      </w:tr>
      <w:tr>
        <w:tc>
          <w:tcPr>
            <w:tcW w:type="dxa" w:w="567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6</w:t>
            </w:r>
          </w:p>
        </w:tc>
        <w:tc>
          <w:tcPr>
            <w:tcW w:type="dxa" w:w="136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CONTROLE</w:t>
            </w:r>
          </w:p>
        </w:tc>
        <w:tc>
          <w:tcPr>
            <w:tcW w:type="dxa" w:w="260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Base do canal fora do CRM</w:t>
            </w:r>
          </w:p>
        </w:tc>
        <w:tc>
          <w:tcPr>
            <w:tcW w:type="dxa" w:w="5102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M1: cadastrar e classificar os 82 no Twenty — pré-requisito de tudo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7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CONTROLE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Atribuição de origem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Registro da exceção do executivo indicador + regra 'origem primeiro' no conflito de canais</w:t>
            </w:r>
          </w:p>
        </w:tc>
      </w:tr>
      <w:tr>
        <w:tc>
          <w:tcPr>
            <w:tcW w:type="dxa" w:w="567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8</w:t>
            </w:r>
          </w:p>
        </w:tc>
        <w:tc>
          <w:tcPr>
            <w:tcW w:type="dxa" w:w="1361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ESTRATÉGICO</w:t>
            </w:r>
          </w:p>
        </w:tc>
        <w:tc>
          <w:tcPr>
            <w:tcW w:type="dxa" w:w="2608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Parceiro como sensor de CS</w:t>
            </w:r>
          </w:p>
        </w:tc>
        <w:tc>
          <w:tcPr>
            <w:tcW w:type="dxa" w:w="5102"/>
            <w:shd w:val="clear" w:fill="F4F5FB"/>
          </w:tcPr>
          <w:p>
            <w:pPr>
              <w:spacing w:after="40" w:before="40"/>
            </w:pPr>
            <w:r>
              <w:rPr>
                <w:rFonts w:ascii="Inter" w:hAnsi="Inter"/>
                <w:b w:val="0"/>
                <w:i w:val="0"/>
                <w:color w:val="141414"/>
                <w:sz w:val="17"/>
              </w:rPr>
              <w:t>Pergunta padrão de saúde das contas na reunião de resultado → alimenta retenção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>Anexo B — Nota de Incorporação ao Documento Mestre</w:t>
      </w:r>
    </w:p>
    <w:p>
      <w:pPr>
        <w:pStyle w:val="ListBullet"/>
        <w:spacing w:after="60"/>
      </w:pPr>
      <w:r>
        <w:rPr>
          <w:rFonts w:ascii="Inter" w:hAnsi="Inter"/>
          <w:b w:val="0"/>
          <w:i w:val="0"/>
          <w:color w:val="141414"/>
          <w:sz w:val="21"/>
        </w:rPr>
        <w:t xml:space="preserve">Este documento é uma </w:t>
      </w:r>
      <w:r>
        <w:rPr>
          <w:rFonts w:ascii="Inter" w:hAnsi="Inter"/>
          <w:b/>
          <w:i w:val="0"/>
          <w:color w:val="141414"/>
          <w:sz w:val="21"/>
        </w:rPr>
        <w:t>minuta autônoma</w:t>
      </w:r>
      <w:r>
        <w:rPr>
          <w:rFonts w:ascii="Inter" w:hAnsi="Inter"/>
          <w:b w:val="0"/>
          <w:i w:val="0"/>
          <w:color w:val="141414"/>
          <w:sz w:val="21"/>
        </w:rPr>
        <w:t xml:space="preserve"> — ainda NÃO incorporada ao Planejamento Lucro Ativo (Documento Mestre).</w:t>
      </w:r>
    </w:p>
    <w:p>
      <w:pPr>
        <w:pStyle w:val="ListBullet"/>
        <w:spacing w:after="60"/>
      </w:pPr>
      <w:r>
        <w:rPr>
          <w:rFonts w:ascii="Inter" w:hAnsi="Inter"/>
          <w:b w:val="0"/>
          <w:i w:val="0"/>
          <w:color w:val="141414"/>
          <w:sz w:val="21"/>
        </w:rPr>
        <w:t>Fluxo: validação do Coordenador (Ulisses) e do CCO → ajustes → aprovação do Sponsor → incorporação ao Mestre com a Nota nº 4 aplicada (atualização da Seção 11 e da matriz de perfis).</w:t>
      </w:r>
    </w:p>
    <w:p>
      <w:pPr>
        <w:pStyle w:val="ListBullet"/>
        <w:spacing w:after="60"/>
      </w:pPr>
      <w:r>
        <w:rPr>
          <w:rFonts w:ascii="Inter" w:hAnsi="Inter"/>
          <w:b w:val="0"/>
          <w:i w:val="0"/>
          <w:color w:val="141414"/>
          <w:sz w:val="21"/>
        </w:rPr>
        <w:t xml:space="preserve">Revisão programada: </w:t>
      </w:r>
      <w:r>
        <w:rPr>
          <w:rFonts w:ascii="Inter" w:hAnsi="Inter"/>
          <w:b/>
          <w:i w:val="0"/>
          <w:color w:val="141414"/>
          <w:sz w:val="21"/>
        </w:rPr>
        <w:t>Fevereiro de 2027</w:t>
      </w:r>
      <w:r>
        <w:rPr>
          <w:rFonts w:ascii="Inter" w:hAnsi="Inter"/>
          <w:b w:val="0"/>
          <w:i w:val="0"/>
          <w:color w:val="141414"/>
          <w:sz w:val="21"/>
        </w:rPr>
        <w:t xml:space="preserve"> (ciclo-padrão de 6 meses do Modelo de Documento de Área).</w:t>
      </w:r>
    </w:p>
    <w:p>
      <w:pPr>
        <w:pStyle w:val="Heading1"/>
      </w:pPr>
      <w:r>
        <w:t>Anexo C — Proveniência dos Dados &amp; Premissas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Premissas do CEO (30/08/2026)</w:t>
      </w:r>
      <w:r>
        <w:rPr>
          <w:rFonts w:ascii="Inter" w:hAnsi="Inter"/>
          <w:b w:val="0"/>
          <w:i w:val="0"/>
          <w:color w:val="141414"/>
          <w:sz w:val="21"/>
        </w:rPr>
        <w:t xml:space="preserve"> — perfis de parceiro, responsabilidades, regra 'meio de venda', contato quinzenal, dashboard, roteamento e exceção do executivo indicador, meta de 100+ ativos.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Planejamento Lucro Ativo v2</w:t>
      </w:r>
      <w:r>
        <w:rPr>
          <w:rFonts w:ascii="Inter" w:hAnsi="Inter"/>
          <w:b w:val="0"/>
          <w:i w:val="0"/>
          <w:color w:val="141414"/>
          <w:sz w:val="21"/>
        </w:rPr>
        <w:t xml:space="preserve"> — Seção 11 (Plano Ulisses: premissas do cargo, fases 1–4), Seção 9.3, matriz de perfis, rituais (Weekly de Parcerias) e eventos 45–60 dias.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Controle de Parcerias LA+GS (20/08/2026)</w:t>
      </w:r>
      <w:r>
        <w:rPr>
          <w:rFonts w:ascii="Inter" w:hAnsi="Inter"/>
          <w:b w:val="0"/>
          <w:i w:val="0"/>
          <w:color w:val="141414"/>
          <w:sz w:val="21"/>
        </w:rPr>
        <w:t xml:space="preserve"> — 82 parceiros únicos, 57 contratos assinados, 20 minutas, 1 distrato; percentuais 50%→25% e 30%→15% nos contratos auditados.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010860"/>
          <w:sz w:val="21"/>
        </w:rPr>
        <w:t>Modelos contratuais</w:t>
      </w:r>
      <w:r>
        <w:rPr>
          <w:rFonts w:ascii="Inter" w:hAnsi="Inter"/>
          <w:b w:val="0"/>
          <w:i w:val="0"/>
          <w:color w:val="141414"/>
          <w:sz w:val="21"/>
        </w:rPr>
        <w:t xml:space="preserve"> — contrato LA direto e tripartite (com GS), com exclusividade por vedação de atividade concorrente e sem metas de produção.</w:t>
      </w:r>
    </w:p>
    <w:p>
      <w:pPr>
        <w:pStyle w:val="ListBullet"/>
        <w:spacing w:after="60"/>
      </w:pPr>
      <w:r>
        <w:rPr>
          <w:rFonts w:ascii="Inter" w:hAnsi="Inter"/>
          <w:b/>
          <w:i w:val="0"/>
          <w:color w:val="141414"/>
          <w:sz w:val="21"/>
        </w:rPr>
        <w:t>Nenhum número foi inventado</w:t>
      </w:r>
      <w:r>
        <w:rPr>
          <w:rFonts w:ascii="Inter" w:hAnsi="Inter"/>
          <w:b w:val="0"/>
          <w:i w:val="0"/>
          <w:color w:val="141414"/>
          <w:sz w:val="21"/>
        </w:rPr>
        <w:t xml:space="preserve"> — metas, faixas e janelas novas estão marcadas como PARÂMETRO A VALIDAR e dependem de validação da Diretoria. Identidade visual conforme Manual da Marca (navy #010860, Montserrat + Inter). Edição preparada pela consultoria (René) em 30/08/2026.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020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decimal"/>
      </w:tabs>
      <w:pBdr>
        <w:top w:val="single" w:sz="6" w:space="6" w:color="D8DBEC"/>
      </w:pBdr>
    </w:pPr>
    <w:r/>
    <w:r>
      <w:rPr>
        <w:rFonts w:ascii="Inter" w:hAnsi="Inter"/>
        <w:color w:val="5A5A5A"/>
        <w:sz w:val="15"/>
      </w:rPr>
      <w:t>Lucro Ativo · Gestão de Parcerias — Carta de Área &amp; Playbook v1.0 · Minuta para validação</w:t>
    </w:r>
    <w:r>
      <w:tab/>
    </w:r>
    <w:r>
      <w:rPr>
        <w:rFonts w:ascii="Inter" w:hAnsi="Inter"/>
        <w:color w:val="5A5A5A"/>
        <w:sz w:val="15"/>
      </w:rPr>
      <w:t xml:space="preserve">Confidencial · pág.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C6A15B"/>
      </w:pBdr>
    </w:pPr>
    <w:r/>
    <w:r>
      <w:drawing>
        <wp:inline xmlns:a="http://schemas.openxmlformats.org/drawingml/2006/main" xmlns:pic="http://schemas.openxmlformats.org/drawingml/2006/picture">
          <wp:extent cx="1224000" cy="275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2754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Inter" w:hAnsi="Inter" w:cs="Inter"/>
      <w:b w:val="0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Montserrat" w:hAnsi="Montserrat" w:cs="Montserrat"/>
      <w:b/>
      <w:bCs/>
      <w:i/>
      <w:iCs/>
      <w:color w:val="2028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