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783" w:hRule="exact"/>
        </w:trPr>
        <w:tc>
          <w:tcPr>
            <w:tcW w:type="dxa" w:w="11906"/>
            <w:shd w:val="clear" w:fill="010860"/>
          </w:tcPr>
          <w:p>
            <w:r/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ind w:left="1361"/>
            </w:pPr>
            <w:r>
              <w:drawing>
                <wp:inline xmlns:a="http://schemas.openxmlformats.org/drawingml/2006/main" xmlns:pic="http://schemas.openxmlformats.org/drawingml/2006/picture">
                  <wp:extent cx="2592000" cy="5819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ran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81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60"/>
              <w:ind w:left="1361"/>
            </w:pPr>
            <w:r>
              <w:rPr>
                <w:rFonts w:ascii="Montserrat" w:hAnsi="Montserrat"/>
                <w:b/>
                <w:color w:val="C9A227"/>
                <w:sz w:val="24"/>
              </w:rPr>
              <w:t>FAQ DE CAPACITAÇÃO COMERCIAL</w:t>
            </w:r>
          </w:p>
          <w:p>
            <w:pPr>
              <w:spacing w:before="120"/>
              <w:ind w:left="1361"/>
            </w:pPr>
            <w:r>
              <w:rPr>
                <w:rFonts w:ascii="Montserrat" w:hAnsi="Montserrat"/>
                <w:b/>
                <w:color w:val="FFFFFF"/>
                <w:sz w:val="80"/>
              </w:rPr>
              <w:t>Rota Fiscal</w:t>
            </w:r>
          </w:p>
          <w:p>
            <w:pPr>
              <w:ind w:left="1361"/>
            </w:pPr>
            <w:r>
              <w:rPr>
                <w:rFonts w:ascii="Montserrat" w:hAnsi="Montserrat"/>
                <w:color w:val="C8CDF0"/>
                <w:sz w:val="34"/>
              </w:rPr>
              <w:t>Internacionalização tributária e patrimonial</w:t>
            </w:r>
          </w:p>
          <w:p>
            <w:pPr>
              <w:spacing w:before="440"/>
              <w:ind w:left="1361"/>
            </w:pPr>
            <w:r>
              <w:rPr>
                <w:rFonts w:ascii="Inter" w:hAnsi="Inter"/>
                <w:color w:val="AAB1E8"/>
                <w:sz w:val="24"/>
              </w:rPr>
              <w:t>Guia do executivo de vendas — Paraguai · LLC EUA · REINTEGRA</w:t>
            </w: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ind w:left="1361"/>
            </w:pPr>
            <w:r>
              <w:rPr>
                <w:rFonts w:ascii="Montserrat" w:hAnsi="Montserrat"/>
                <w:color w:val="FFFFFF"/>
                <w:sz w:val="21"/>
              </w:rPr>
              <w:t>Lucro Ativo · Compliance Fiscal Tributário · @meulucroativo</w:t>
            </w:r>
          </w:p>
          <w:p>
            <w:pPr>
              <w:ind w:left="1361"/>
            </w:pPr>
            <w:r>
              <w:rPr>
                <w:rFonts w:ascii="Inter" w:hAnsi="Inter"/>
                <w:color w:val="AAB1E8"/>
                <w:sz w:val="19"/>
              </w:rPr>
              <w:t>Material interno — não circular para clientes · Versão 1.0 · Setembro de 2026</w:t>
            </w:r>
          </w:p>
        </w:tc>
      </w:tr>
    </w:tbl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2"/>
      </w:pPr>
      <w:r>
        <w:t>Ficha do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3E6EF"/>
          <w:left w:val="single" w:sz="4" w:color="E3E6EF"/>
          <w:bottom w:val="single" w:sz="4" w:color="E3E6EF"/>
          <w:right w:val="single" w:sz="4" w:color="E3E6EF"/>
          <w:insideH w:val="single" w:sz="4" w:color="E3E6EF"/>
          <w:insideV w:val="single" w:sz="4" w:color="E3E6EF"/>
        </w:tblBorders>
      </w:tblPr>
      <w:tblGrid>
        <w:gridCol w:w="2154"/>
        <w:gridCol w:w="7030"/>
      </w:tblGrid>
      <w:tr>
        <w:tc>
          <w:tcPr>
            <w:tcW w:type="dxa" w:w="2154"/>
            <w:shd w:val="clear" w:fill="010860"/>
          </w:tcPr>
          <w:p>
            <w:r>
              <w:rPr>
                <w:rFonts w:ascii="Montserrat" w:hAnsi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30"/>
            <w:shd w:val="clear" w:fill="010860"/>
          </w:tcPr>
          <w:p>
            <w:r>
              <w:rPr>
                <w:rFonts w:ascii="Montserrat" w:hAnsi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154"/>
          </w:tcPr>
          <w:p>
            <w:r>
              <w:rPr>
                <w:rFonts w:ascii="Inter" w:hAnsi="Inter"/>
                <w:b/>
                <w:color w:val="010860"/>
                <w:sz w:val="19"/>
              </w:rPr>
              <w:t>Título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9"/>
              </w:rPr>
              <w:t>FAQ de Capacitação Comercial — Rota Fiscal (Internacionalização Tributária e Patrimonial)</w:t>
            </w:r>
          </w:p>
        </w:tc>
      </w:tr>
      <w:tr>
        <w:tc>
          <w:tcPr>
            <w:tcW w:type="dxa" w:w="2154"/>
            <w:shd w:val="clear" w:fill="F2F4FB"/>
          </w:tcPr>
          <w:p>
            <w:r>
              <w:rPr>
                <w:rFonts w:ascii="Inter" w:hAnsi="Inter"/>
                <w:b/>
                <w:color w:val="010860"/>
                <w:sz w:val="19"/>
              </w:rPr>
              <w:t>Natureza</w:t>
            </w:r>
          </w:p>
        </w:tc>
        <w:tc>
          <w:tcPr>
            <w:tcW w:type="dxa" w:w="7030"/>
            <w:shd w:val="clear" w:fill="F2F4FB"/>
          </w:tcPr>
          <w:p>
            <w:r>
              <w:rPr>
                <w:rFonts w:ascii="Inter" w:hAnsi="Inter"/>
                <w:sz w:val="19"/>
              </w:rPr>
              <w:t>Material de capacitação interna (não é material de cliente)</w:t>
            </w:r>
          </w:p>
        </w:tc>
      </w:tr>
      <w:tr>
        <w:tc>
          <w:tcPr>
            <w:tcW w:type="dxa" w:w="2154"/>
          </w:tcPr>
          <w:p>
            <w:r>
              <w:rPr>
                <w:rFonts w:ascii="Inter" w:hAnsi="Inter"/>
                <w:b/>
                <w:color w:val="010860"/>
                <w:sz w:val="19"/>
              </w:rPr>
              <w:t>Produto coberto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9"/>
              </w:rPr>
              <w:t>Rota Fiscal — Rota Paraguai (residência fiscal e maquila) · Rota LLC EUA · Rota REINTEGRA</w:t>
            </w:r>
          </w:p>
        </w:tc>
      </w:tr>
      <w:tr>
        <w:tc>
          <w:tcPr>
            <w:tcW w:type="dxa" w:w="2154"/>
            <w:shd w:val="clear" w:fill="F2F4FB"/>
          </w:tcPr>
          <w:p>
            <w:r>
              <w:rPr>
                <w:rFonts w:ascii="Inter" w:hAnsi="Inter"/>
                <w:b/>
                <w:color w:val="010860"/>
                <w:sz w:val="19"/>
              </w:rPr>
              <w:t>Finalidade</w:t>
            </w:r>
          </w:p>
        </w:tc>
        <w:tc>
          <w:tcPr>
            <w:tcW w:type="dxa" w:w="7030"/>
            <w:shd w:val="clear" w:fill="F2F4FB"/>
          </w:tcPr>
          <w:p>
            <w:r>
              <w:rPr>
                <w:rFonts w:ascii="Inter" w:hAnsi="Inter"/>
                <w:sz w:val="19"/>
              </w:rPr>
              <w:t>Treinar o time comercial — base técnica e jurídica para conduzir a venda e responder objeções</w:t>
            </w:r>
          </w:p>
        </w:tc>
      </w:tr>
      <w:tr>
        <w:tc>
          <w:tcPr>
            <w:tcW w:type="dxa" w:w="2154"/>
          </w:tcPr>
          <w:p>
            <w:r>
              <w:rPr>
                <w:rFonts w:ascii="Inter" w:hAnsi="Inter"/>
                <w:b/>
                <w:color w:val="010860"/>
                <w:sz w:val="19"/>
              </w:rPr>
              <w:t>Próximo passo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9"/>
              </w:rPr>
              <w:t>Após validação técnica/jurídica, gerar as versões com foco no cliente</w:t>
            </w:r>
          </w:p>
        </w:tc>
      </w:tr>
      <w:tr>
        <w:tc>
          <w:tcPr>
            <w:tcW w:type="dxa" w:w="2154"/>
            <w:shd w:val="clear" w:fill="F2F4FB"/>
          </w:tcPr>
          <w:p>
            <w:r>
              <w:rPr>
                <w:rFonts w:ascii="Inter" w:hAnsi="Inter"/>
                <w:b/>
                <w:color w:val="010860"/>
                <w:sz w:val="19"/>
              </w:rPr>
              <w:t>Versão / Data</w:t>
            </w:r>
          </w:p>
        </w:tc>
        <w:tc>
          <w:tcPr>
            <w:tcW w:type="dxa" w:w="7030"/>
            <w:shd w:val="clear" w:fill="F2F4FB"/>
          </w:tcPr>
          <w:p>
            <w:r>
              <w:rPr>
                <w:rFonts w:ascii="Inter" w:hAnsi="Inter"/>
                <w:sz w:val="19"/>
              </w:rPr>
              <w:t>Versão 1.0 · Setembro de 2026</w:t>
            </w:r>
          </w:p>
        </w:tc>
      </w:tr>
      <w:tr>
        <w:tc>
          <w:tcPr>
            <w:tcW w:type="dxa" w:w="2154"/>
          </w:tcPr>
          <w:p>
            <w:r>
              <w:rPr>
                <w:rFonts w:ascii="Inter" w:hAnsi="Inter"/>
                <w:b/>
                <w:color w:val="010860"/>
                <w:sz w:val="19"/>
              </w:rPr>
              <w:t>Base normativa</w:t>
            </w:r>
          </w:p>
        </w:tc>
        <w:tc>
          <w:tcPr>
            <w:tcW w:type="dxa" w:w="7030"/>
          </w:tcPr>
          <w:p>
            <w:r>
              <w:rPr>
                <w:rFonts w:ascii="Inter" w:hAnsi="Inter"/>
                <w:sz w:val="19"/>
              </w:rPr>
              <w:t>Legislação citada ao fim do documento — todo parâmetro comercial deve ser validado pelo jurídico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A227"/>
          <w:left w:val="single" w:sz="6" w:color="C9A227"/>
          <w:bottom w:val="single" w:sz="6" w:color="C9A227"/>
          <w:right w:val="single" w:sz="6" w:color="C9A227"/>
          <w:insideH w:val="single" w:sz="6" w:color="C9A227"/>
          <w:insideV w:val="single" w:sz="6" w:color="C9A227"/>
        </w:tblBorders>
      </w:tblPr>
      <w:tblGrid>
        <w:gridCol w:w="9184"/>
      </w:tblGrid>
      <w:tr>
        <w:tc>
          <w:tcPr>
            <w:tcW w:type="dxa" w:w="9184"/>
            <w:shd w:val="clear" w:fill="FDF9EE"/>
          </w:tcPr>
          <w:p>
            <w:r>
              <w:rPr>
                <w:rFonts w:ascii="Montserrat" w:hAnsi="Montserrat"/>
                <w:b/>
                <w:color w:val="8A6D0D"/>
                <w:sz w:val="21"/>
              </w:rPr>
              <w:t>▸ REGRA DE OURO DA CAPACITAÇÃO</w:t>
            </w:r>
          </w:p>
          <w:p>
            <w:r>
              <w:rPr>
                <w:rFonts w:ascii="Inter" w:hAnsi="Inter"/>
                <w:sz w:val="20"/>
              </w:rPr>
              <w:t xml:space="preserve">Todo número comercial — alíquota, percentual de economia, prazo, honorário, ROI — é </w:t>
            </w:r>
            <w:r>
              <w:rPr>
                <w:rFonts w:ascii="Inter" w:hAnsi="Inter"/>
                <w:b/>
                <w:color w:val="010860"/>
                <w:sz w:val="20"/>
              </w:rPr>
              <w:t>PARÂMETRO A VALIDAR</w:t>
            </w:r>
            <w:r>
              <w:rPr>
                <w:rFonts w:ascii="Inter" w:hAnsi="Inter"/>
                <w:sz w:val="20"/>
              </w:rPr>
              <w:t xml:space="preserve"> com o jurídico/tributário antes de chegar ao cliente. O que se garante é </w:t>
            </w:r>
            <w:r>
              <w:rPr>
                <w:rFonts w:ascii="Inter" w:hAnsi="Inter"/>
                <w:b/>
                <w:color w:val="010860"/>
                <w:sz w:val="20"/>
              </w:rPr>
              <w:t>rigor técnico e condução especializada</w:t>
            </w:r>
            <w:r>
              <w:rPr>
                <w:rFonts w:ascii="Inter" w:hAnsi="Inter"/>
                <w:sz w:val="20"/>
              </w:rPr>
              <w:t xml:space="preserve"> — nunca resultado, prazo ou percentual. Em internacionalização isso vale em dobro: regras migratórias e tributárias de outro país mudam, e quem promete número vira réu da própria promessa.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Inter" w:hAnsi="Inter"/>
          <w:b/>
          <w:color w:val="010860"/>
          <w:sz w:val="21"/>
        </w:rPr>
        <w:t>COMO ESTE GUIA ESTÁ ORGANIZADO</w:t>
      </w:r>
      <w:r>
        <w:rPr>
          <w:rFonts w:ascii="Inter" w:hAnsi="Inter"/>
          <w:sz w:val="21"/>
        </w:rPr>
        <w:t xml:space="preserve"> — Bloco 1: conceito e posicionamento. Blocos 2 a 4: uma rota por bloco (Paraguai, LLC EUA, REINTEGRA). Bloco 5: jornada e operação. Bloco 6: objeções frequentes com a resposta pronta. Ao final, a base normativa de referência.</w:t>
      </w:r>
    </w:p>
    <w:p>
      <w:pPr>
        <w:pStyle w:val="Heading1"/>
      </w:pPr>
      <w:r>
        <w:t>Sumário</w:t>
      </w:r>
    </w:p>
    <w:p>
      <w:fldSimple w:instr="TOC \o &quot;1-1&quot; \h \z \u">
        <w:r>
          <w:t>Sumário automático — no Word, clique com o botão direito e selecione "Atualizar campo".</w:t>
        </w:r>
      </w:fldSimple>
    </w:p>
    <w:p>
      <w:pPr>
        <w:pStyle w:val="Heading1"/>
      </w:pPr>
      <w:r>
        <w:t>BLOCO 1 — CONCEITO E POSICIONAMENTO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1. </w:t>
      </w:r>
      <w:r>
        <w:rPr>
          <w:rFonts w:ascii="Montserrat" w:hAnsi="Montserrat"/>
          <w:b/>
          <w:color w:val="010860"/>
          <w:sz w:val="23"/>
        </w:rPr>
        <w:t>O que é, em uma frase, a Rota Fiscal da Lucro Ativo?</w:t>
      </w:r>
    </w:p>
    <w:p>
      <w:pPr>
        <w:spacing w:after="120"/>
      </w:pPr>
      <w:r>
        <w:rPr>
          <w:rFonts w:ascii="Inter" w:hAnsi="Inter"/>
          <w:sz w:val="21"/>
        </w:rPr>
        <w:t xml:space="preserve">É o </w:t>
      </w:r>
      <w:r>
        <w:rPr>
          <w:rFonts w:ascii="Inter" w:hAnsi="Inter"/>
          <w:b/>
          <w:color w:val="010860"/>
          <w:sz w:val="21"/>
        </w:rPr>
        <w:t>programa de internacionalização tributária e patrimonial</w:t>
      </w:r>
      <w:r>
        <w:rPr>
          <w:rFonts w:ascii="Inter" w:hAnsi="Inter"/>
          <w:sz w:val="21"/>
        </w:rPr>
        <w:t xml:space="preserve"> da casa: um método que leva o empresário do </w:t>
      </w:r>
      <w:r>
        <w:rPr>
          <w:rFonts w:ascii="Inter" w:hAnsi="Inter"/>
          <w:b/>
          <w:color w:val="010860"/>
          <w:sz w:val="21"/>
        </w:rPr>
        <w:t>diagnóstico</w:t>
      </w:r>
      <w:r>
        <w:rPr>
          <w:rFonts w:ascii="Inter" w:hAnsi="Inter"/>
          <w:sz w:val="21"/>
        </w:rPr>
        <w:t xml:space="preserve"> à </w:t>
      </w:r>
      <w:r>
        <w:rPr>
          <w:rFonts w:ascii="Inter" w:hAnsi="Inter"/>
          <w:b/>
          <w:color w:val="010860"/>
          <w:sz w:val="21"/>
        </w:rPr>
        <w:t>operação internacional ativa</w:t>
      </w:r>
      <w:r>
        <w:rPr>
          <w:rFonts w:ascii="Inter" w:hAnsi="Inter"/>
          <w:sz w:val="21"/>
        </w:rPr>
        <w:t xml:space="preserve"> — pela Rota Paraguai, pela Rota LLC EUA, pela Rota REINTEGRA ou por uma combinação delas — com advocacia tributária na condução e estrutura própria da Lucro Ativo em Assunção (EAS Paraguay).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2. </w:t>
      </w:r>
      <w:r>
        <w:rPr>
          <w:rFonts w:ascii="Montserrat" w:hAnsi="Montserrat"/>
          <w:b/>
          <w:color w:val="010860"/>
          <w:sz w:val="23"/>
        </w:rPr>
        <w:t>Rota Fiscal é "ir embora do Brasil"?</w:t>
      </w:r>
    </w:p>
    <w:p>
      <w:pPr>
        <w:spacing w:after="120"/>
      </w:pPr>
      <w:r>
        <w:rPr>
          <w:rFonts w:ascii="Inter" w:hAnsi="Inter"/>
          <w:sz w:val="21"/>
        </w:rPr>
        <w:t xml:space="preserve">Não necessariamente. Só a mudança de </w:t>
      </w:r>
      <w:r>
        <w:rPr>
          <w:rFonts w:ascii="Inter" w:hAnsi="Inter"/>
          <w:b/>
          <w:color w:val="010860"/>
          <w:sz w:val="21"/>
        </w:rPr>
        <w:t>base fiscal pessoal</w:t>
      </w:r>
      <w:r>
        <w:rPr>
          <w:rFonts w:ascii="Inter" w:hAnsi="Inter"/>
          <w:sz w:val="21"/>
        </w:rPr>
        <w:t xml:space="preserve"> (Rota Paraguai com residência) envolve sair formalmente do sistema brasileiro. A </w:t>
      </w:r>
      <w:r>
        <w:rPr>
          <w:rFonts w:ascii="Inter" w:hAnsi="Inter"/>
          <w:b/>
          <w:color w:val="010860"/>
          <w:sz w:val="21"/>
        </w:rPr>
        <w:t>LLC</w:t>
      </w:r>
      <w:r>
        <w:rPr>
          <w:rFonts w:ascii="Inter" w:hAnsi="Inter"/>
          <w:sz w:val="21"/>
        </w:rPr>
        <w:t xml:space="preserve"> convive com a residência fiscal no Brasil — declarada e conforme — e o </w:t>
      </w:r>
      <w:r>
        <w:rPr>
          <w:rFonts w:ascii="Inter" w:hAnsi="Inter"/>
          <w:b/>
          <w:color w:val="010860"/>
          <w:sz w:val="21"/>
        </w:rPr>
        <w:t>REINTEGRA</w:t>
      </w:r>
      <w:r>
        <w:rPr>
          <w:rFonts w:ascii="Inter" w:hAnsi="Inter"/>
          <w:sz w:val="21"/>
        </w:rPr>
        <w:t xml:space="preserve"> acontece inteiro dentro do Brasil. O diagnóstico define o desenho; não existe pacote único.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3. </w:t>
      </w:r>
      <w:r>
        <w:rPr>
          <w:rFonts w:ascii="Montserrat" w:hAnsi="Montserrat"/>
          <w:b/>
          <w:color w:val="010860"/>
          <w:sz w:val="23"/>
        </w:rPr>
        <w:t>Isso é legal? Como o executivo responde essa pergunta?</w:t>
      </w:r>
    </w:p>
    <w:p>
      <w:pPr>
        <w:spacing w:after="120"/>
      </w:pPr>
      <w:r>
        <w:rPr>
          <w:rFonts w:ascii="Inter" w:hAnsi="Inter"/>
          <w:sz w:val="21"/>
        </w:rPr>
        <w:t xml:space="preserve">Com tranquilidade: a Rota Fiscal é </w:t>
      </w:r>
      <w:r>
        <w:rPr>
          <w:rFonts w:ascii="Inter" w:hAnsi="Inter"/>
          <w:b/>
          <w:color w:val="010860"/>
          <w:sz w:val="21"/>
        </w:rPr>
        <w:t>planejamento tributário lícito</w:t>
      </w:r>
      <w:r>
        <w:rPr>
          <w:rFonts w:ascii="Inter" w:hAnsi="Inter"/>
          <w:sz w:val="21"/>
        </w:rPr>
        <w:t xml:space="preserve">. Cada passo é formalizado perante o fisco brasileiro e perante a jurisdição de destino — saída fiscal declarada, estruturas declaradas (DIRPF/CBE), contabilidade local ativa. O posicionamento é textual: a Lucro Ativo </w:t>
      </w:r>
      <w:r>
        <w:rPr>
          <w:rFonts w:ascii="Inter" w:hAnsi="Inter"/>
          <w:b/>
          <w:color w:val="010860"/>
          <w:sz w:val="21"/>
        </w:rPr>
        <w:t>não realiza nem orienta</w:t>
      </w:r>
      <w:r>
        <w:rPr>
          <w:rFonts w:ascii="Inter" w:hAnsi="Inter"/>
          <w:sz w:val="21"/>
        </w:rPr>
        <w:t xml:space="preserve"> ocultação de patrimônio ou omissão de declarações.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4. </w:t>
      </w:r>
      <w:r>
        <w:rPr>
          <w:rFonts w:ascii="Montserrat" w:hAnsi="Montserrat"/>
          <w:b/>
          <w:color w:val="010860"/>
          <w:sz w:val="23"/>
        </w:rPr>
        <w:t>Qual a diferença entre o que fazemos e evasão fiscal?</w:t>
      </w:r>
    </w:p>
    <w:p>
      <w:pPr>
        <w:spacing w:after="120"/>
      </w:pPr>
      <w:r>
        <w:rPr>
          <w:rFonts w:ascii="Inter" w:hAnsi="Inter"/>
          <w:b/>
          <w:color w:val="010860"/>
          <w:sz w:val="21"/>
        </w:rPr>
        <w:t>Elisão</w:t>
      </w:r>
      <w:r>
        <w:rPr>
          <w:rFonts w:ascii="Inter" w:hAnsi="Inter"/>
          <w:sz w:val="21"/>
        </w:rPr>
        <w:t xml:space="preserve"> é escolher, dentro da lei, a jurisdição e a estrutura mais eficientes — direito de qualquer empresário. </w:t>
      </w:r>
      <w:r>
        <w:rPr>
          <w:rFonts w:ascii="Inter" w:hAnsi="Inter"/>
          <w:b/>
          <w:color w:val="010860"/>
          <w:sz w:val="21"/>
        </w:rPr>
        <w:t>Evasão</w:t>
      </w:r>
      <w:r>
        <w:rPr>
          <w:rFonts w:ascii="Inter" w:hAnsi="Inter"/>
          <w:sz w:val="21"/>
        </w:rPr>
        <w:t xml:space="preserve"> é ocultar patrimônio, omitir declaração, manter residência "fantasma" em dois países. A Rota Fiscal existe exatamente para o empresário internacionalizar </w:t>
      </w:r>
      <w:r>
        <w:rPr>
          <w:rFonts w:ascii="Inter" w:hAnsi="Inter"/>
          <w:b/>
          <w:color w:val="010860"/>
          <w:sz w:val="21"/>
        </w:rPr>
        <w:t>do jeito certo</w:t>
      </w:r>
      <w:r>
        <w:rPr>
          <w:rFonts w:ascii="Inter" w:hAnsi="Inter"/>
          <w:sz w:val="21"/>
        </w:rPr>
        <w:t xml:space="preserve"> — com documento, prazo e evidência de cada ato.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5. </w:t>
      </w:r>
      <w:r>
        <w:rPr>
          <w:rFonts w:ascii="Montserrat" w:hAnsi="Montserrat"/>
          <w:b/>
          <w:color w:val="010860"/>
          <w:sz w:val="23"/>
        </w:rPr>
        <w:t>O que a Lucro Ativo NÃO promete?</w:t>
      </w:r>
    </w:p>
    <w:p>
      <w:pPr>
        <w:spacing w:after="120"/>
      </w:pPr>
      <w:r>
        <w:rPr>
          <w:rFonts w:ascii="Inter" w:hAnsi="Inter"/>
          <w:sz w:val="21"/>
        </w:rPr>
        <w:t xml:space="preserve">Não prometemos </w:t>
      </w:r>
      <w:r>
        <w:rPr>
          <w:rFonts w:ascii="Inter" w:hAnsi="Inter"/>
          <w:b/>
          <w:color w:val="010860"/>
          <w:sz w:val="21"/>
        </w:rPr>
        <w:t>"imposto zero"</w:t>
      </w:r>
      <w:r>
        <w:rPr>
          <w:rFonts w:ascii="Inter" w:hAnsi="Inter"/>
          <w:sz w:val="21"/>
        </w:rPr>
        <w:t xml:space="preserve">, não operamos ocultação de ativos e não executamos rota sem diagnóstico. Se a internacionalização não servir ao caso do cliente, a resposta é honesta: </w:t>
      </w:r>
      <w:r>
        <w:rPr>
          <w:rFonts w:ascii="Inter" w:hAnsi="Inter"/>
          <w:b/>
          <w:color w:val="010860"/>
          <w:sz w:val="21"/>
        </w:rPr>
        <w:t>"ainda não"</w:t>
      </w:r>
      <w:r>
        <w:rPr>
          <w:rFonts w:ascii="Inter" w:hAnsi="Inter"/>
          <w:sz w:val="21"/>
        </w:rPr>
        <w:t>. Essa postura é argumento de venda — diferencia a casa de curso de guru e de despachante.</w:t>
      </w:r>
    </w:p>
    <w:p>
      <w:pPr>
        <w:pStyle w:val="Heading1"/>
      </w:pPr>
      <w:r>
        <w:t>BLOCO 2 — ROTA PARAGUAI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6. </w:t>
      </w:r>
      <w:r>
        <w:rPr>
          <w:rFonts w:ascii="Montserrat" w:hAnsi="Montserrat"/>
          <w:b/>
          <w:color w:val="010860"/>
          <w:sz w:val="23"/>
        </w:rPr>
        <w:t>Por que o Paraguai?</w:t>
      </w:r>
    </w:p>
    <w:p>
      <w:pPr>
        <w:spacing w:after="120"/>
      </w:pPr>
      <w:r>
        <w:rPr>
          <w:rFonts w:ascii="Inter" w:hAnsi="Inter"/>
          <w:sz w:val="21"/>
        </w:rPr>
        <w:t xml:space="preserve">Um dos sistemas tributários mais enxutos das Américas, ao lado de casa e dentro do Mercosul: </w:t>
      </w:r>
      <w:r>
        <w:rPr>
          <w:rFonts w:ascii="Inter" w:hAnsi="Inter"/>
          <w:b/>
          <w:color w:val="010860"/>
          <w:sz w:val="21"/>
        </w:rPr>
        <w:t>IRE de 10%</w:t>
      </w:r>
      <w:r>
        <w:rPr>
          <w:rFonts w:ascii="Inter" w:hAnsi="Inter"/>
          <w:sz w:val="21"/>
        </w:rPr>
        <w:t xml:space="preserve"> (imposto de renda empresarial), </w:t>
      </w:r>
      <w:r>
        <w:rPr>
          <w:rFonts w:ascii="Inter" w:hAnsi="Inter"/>
          <w:b/>
          <w:color w:val="010860"/>
          <w:sz w:val="21"/>
        </w:rPr>
        <w:t>IVA de 10%</w:t>
      </w:r>
      <w:r>
        <w:rPr>
          <w:rFonts w:ascii="Inter" w:hAnsi="Inter"/>
          <w:sz w:val="21"/>
        </w:rPr>
        <w:t xml:space="preserve"> e, para a indústria, o </w:t>
      </w:r>
      <w:r>
        <w:rPr>
          <w:rFonts w:ascii="Inter" w:hAnsi="Inter"/>
          <w:b/>
          <w:color w:val="010860"/>
          <w:sz w:val="21"/>
        </w:rPr>
        <w:t>regime maquila</w:t>
      </w:r>
      <w:r>
        <w:rPr>
          <w:rFonts w:ascii="Inter" w:hAnsi="Inter"/>
          <w:sz w:val="21"/>
        </w:rPr>
        <w:t xml:space="preserve"> com tributo único de </w:t>
      </w:r>
      <w:r>
        <w:rPr>
          <w:rFonts w:ascii="Inter" w:hAnsi="Inter"/>
          <w:b/>
          <w:color w:val="010860"/>
          <w:sz w:val="21"/>
        </w:rPr>
        <w:t>1%</w:t>
      </w:r>
      <w:r>
        <w:rPr>
          <w:rFonts w:ascii="Inter" w:hAnsi="Inter"/>
          <w:sz w:val="21"/>
        </w:rPr>
        <w:t xml:space="preserve"> sobre o valor agregado local ou sobre a fatura de exportação (Lei 7.547/2025, que substituiu a Lei 1.064/97). Soma-se energia barata, mão de obra competitiva e logística de vizinho. </w:t>
      </w:r>
      <w:r>
        <w:rPr>
          <w:rFonts w:ascii="Inter" w:hAnsi="Inter"/>
          <w:b/>
          <w:color w:val="010860"/>
          <w:sz w:val="21"/>
        </w:rPr>
        <w:t>PARÂMETRO A VALIDAR:</w:t>
      </w:r>
      <w:r>
        <w:rPr>
          <w:rFonts w:ascii="Inter" w:hAnsi="Inter"/>
          <w:sz w:val="21"/>
        </w:rPr>
        <w:t xml:space="preserve"> alíquotas e enquadramentos são confirmados caso a caso antes de qualquer proposta.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7. </w:t>
      </w:r>
      <w:r>
        <w:rPr>
          <w:rFonts w:ascii="Montserrat" w:hAnsi="Montserrat"/>
          <w:b/>
          <w:color w:val="010860"/>
          <w:sz w:val="23"/>
        </w:rPr>
        <w:t>O que é o regime maquila?</w:t>
      </w:r>
    </w:p>
    <w:p>
      <w:pPr>
        <w:spacing w:after="120"/>
      </w:pPr>
      <w:r>
        <w:rPr>
          <w:rFonts w:ascii="Inter" w:hAnsi="Inter"/>
          <w:sz w:val="21"/>
        </w:rPr>
        <w:t xml:space="preserve">Regime da </w:t>
      </w:r>
      <w:r>
        <w:rPr>
          <w:rFonts w:ascii="Inter" w:hAnsi="Inter"/>
          <w:b/>
          <w:color w:val="010860"/>
          <w:sz w:val="21"/>
        </w:rPr>
        <w:t>Lei paraguaia 7.547/2025</w:t>
      </w:r>
      <w:r>
        <w:rPr>
          <w:rFonts w:ascii="Inter" w:hAnsi="Inter"/>
          <w:sz w:val="21"/>
        </w:rPr>
        <w:t xml:space="preserve"> (regulamentada pelo Decreto 5.714/2026; substitui a Lei 1.064/97) que permite instalar produção — e, agora expressamente, </w:t>
      </w:r>
      <w:r>
        <w:rPr>
          <w:rFonts w:ascii="Inter" w:hAnsi="Inter"/>
          <w:b/>
          <w:color w:val="010860"/>
          <w:sz w:val="21"/>
        </w:rPr>
        <w:t>serviços</w:t>
      </w:r>
      <w:r>
        <w:rPr>
          <w:rFonts w:ascii="Inter" w:hAnsi="Inter"/>
          <w:sz w:val="21"/>
        </w:rPr>
        <w:t xml:space="preserve"> de exportação como software, suporte e BPO — no Paraguai para exportar, inclusive de volta ao Brasil, pagando </w:t>
      </w:r>
      <w:r>
        <w:rPr>
          <w:rFonts w:ascii="Inter" w:hAnsi="Inter"/>
          <w:b/>
          <w:color w:val="010860"/>
          <w:sz w:val="21"/>
        </w:rPr>
        <w:t>tributo único de 1%</w:t>
      </w:r>
      <w:r>
        <w:rPr>
          <w:rFonts w:ascii="Inter" w:hAnsi="Inter"/>
          <w:sz w:val="21"/>
        </w:rPr>
        <w:t xml:space="preserve"> sobre o valor agregado no país ou sobre a fatura de exportação, o que for maior. O programa é aprovado pelo CNIME e a operação precisa ter substância local (pessoal, instalações, cadeia de valor). É a rota natural da indústria e do serviço pressionados por custo tributário, energético e de folha. O enquadramento do projeto no regime é análise jurídica, não checkbox.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8. </w:t>
      </w:r>
      <w:r>
        <w:rPr>
          <w:rFonts w:ascii="Montserrat" w:hAnsi="Montserrat"/>
          <w:b/>
          <w:color w:val="010860"/>
          <w:sz w:val="23"/>
        </w:rPr>
        <w:t>O cliente precisa morar no Paraguai?</w:t>
      </w:r>
    </w:p>
    <w:p>
      <w:pPr>
        <w:spacing w:after="120"/>
      </w:pPr>
      <w:r>
        <w:rPr>
          <w:rFonts w:ascii="Inter" w:hAnsi="Inter"/>
          <w:sz w:val="21"/>
        </w:rPr>
        <w:t xml:space="preserve">Depende do objetivo. </w:t>
      </w:r>
      <w:r>
        <w:rPr>
          <w:rFonts w:ascii="Inter" w:hAnsi="Inter"/>
          <w:b/>
          <w:color w:val="010860"/>
          <w:sz w:val="21"/>
        </w:rPr>
        <w:t>Mudança de base fiscal pessoal</w:t>
      </w:r>
      <w:r>
        <w:rPr>
          <w:rFonts w:ascii="Inter" w:hAnsi="Inter"/>
          <w:sz w:val="21"/>
        </w:rPr>
        <w:t xml:space="preserve"> exige cumprir os requisitos formais de residência e formalizar a saída do Brasil. </w:t>
      </w:r>
      <w:r>
        <w:rPr>
          <w:rFonts w:ascii="Inter" w:hAnsi="Inter"/>
          <w:b/>
          <w:color w:val="010860"/>
          <w:sz w:val="21"/>
        </w:rPr>
        <w:t>Estrutura empresarial</w:t>
      </w:r>
      <w:r>
        <w:rPr>
          <w:rFonts w:ascii="Inter" w:hAnsi="Inter"/>
          <w:sz w:val="21"/>
        </w:rPr>
        <w:t xml:space="preserve"> (maquila, holding local) é outro desenho, que pode existir sem mudança pessoal. O que não existe é atalho: residência de papel, sem substância, é o erro que a Rota Fiscal foi desenhada para evitar.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9. </w:t>
      </w:r>
      <w:r>
        <w:rPr>
          <w:rFonts w:ascii="Montserrat" w:hAnsi="Montserrat"/>
          <w:b/>
          <w:color w:val="010860"/>
          <w:sz w:val="23"/>
        </w:rPr>
        <w:t>O que é RUC?</w:t>
      </w:r>
    </w:p>
    <w:p>
      <w:pPr>
        <w:spacing w:after="120"/>
      </w:pPr>
      <w:r>
        <w:rPr>
          <w:rFonts w:ascii="Inter" w:hAnsi="Inter"/>
          <w:b/>
          <w:color w:val="010860"/>
          <w:sz w:val="21"/>
        </w:rPr>
        <w:t>Registro Único do Contribuinte</w:t>
      </w:r>
      <w:r>
        <w:rPr>
          <w:rFonts w:ascii="Inter" w:hAnsi="Inter"/>
          <w:sz w:val="21"/>
        </w:rPr>
        <w:t xml:space="preserve"> — o registro tributário paraguaio, análogo à inscrição CPF/CNPJ na Receita. Ter RUC ativo, contabilidade local e obrigações em dia é o que transforma a estrutura em </w:t>
      </w:r>
      <w:r>
        <w:rPr>
          <w:rFonts w:ascii="Inter" w:hAnsi="Inter"/>
          <w:b/>
          <w:color w:val="010860"/>
          <w:sz w:val="21"/>
        </w:rPr>
        <w:t>operação viva</w:t>
      </w:r>
      <w:r>
        <w:rPr>
          <w:rFonts w:ascii="Inter" w:hAnsi="Inter"/>
          <w:sz w:val="21"/>
        </w:rPr>
        <w:t>, não um carimbo no passaporte.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10. </w:t>
      </w:r>
      <w:r>
        <w:rPr>
          <w:rFonts w:ascii="Montserrat" w:hAnsi="Montserrat"/>
          <w:b/>
          <w:color w:val="010860"/>
          <w:sz w:val="23"/>
        </w:rPr>
        <w:t>O que acontece com as obrigações do cliente no Brasil?</w:t>
      </w:r>
    </w:p>
    <w:p>
      <w:pPr>
        <w:spacing w:after="120"/>
      </w:pPr>
      <w:r>
        <w:rPr>
          <w:rFonts w:ascii="Inter" w:hAnsi="Inter"/>
          <w:sz w:val="21"/>
        </w:rPr>
        <w:t xml:space="preserve">Quem muda de base fiscal faz a </w:t>
      </w:r>
      <w:r>
        <w:rPr>
          <w:rFonts w:ascii="Inter" w:hAnsi="Inter"/>
          <w:b/>
          <w:color w:val="010860"/>
          <w:sz w:val="21"/>
        </w:rPr>
        <w:t>Declaração de Saída Definitiva</w:t>
      </w:r>
      <w:r>
        <w:rPr>
          <w:rFonts w:ascii="Inter" w:hAnsi="Inter"/>
          <w:sz w:val="21"/>
        </w:rPr>
        <w:t xml:space="preserve"> e encerra as obrigações corretamente — sem virar residente "fantasma". Quem mantém residência brasileira </w:t>
      </w:r>
      <w:r>
        <w:rPr>
          <w:rFonts w:ascii="Inter" w:hAnsi="Inter"/>
          <w:b/>
          <w:color w:val="010860"/>
          <w:sz w:val="21"/>
        </w:rPr>
        <w:t>declara</w:t>
      </w:r>
      <w:r>
        <w:rPr>
          <w:rFonts w:ascii="Inter" w:hAnsi="Inter"/>
          <w:sz w:val="21"/>
        </w:rPr>
        <w:t xml:space="preserve"> as participações no exterior (DIRPF/CBE) enquanto ela durar. Nos dois cenários, a regra é a mesma: </w:t>
      </w:r>
      <w:r>
        <w:rPr>
          <w:rFonts w:ascii="Inter" w:hAnsi="Inter"/>
          <w:b/>
          <w:color w:val="010860"/>
          <w:sz w:val="21"/>
        </w:rPr>
        <w:t>nada depende de omissão</w:t>
      </w:r>
      <w:r>
        <w:rPr>
          <w:rFonts w:ascii="Inter" w:hAnsi="Inter"/>
          <w:sz w:val="21"/>
        </w:rPr>
        <w:t>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11. </w:t>
      </w:r>
      <w:r>
        <w:rPr>
          <w:rFonts w:ascii="Montserrat" w:hAnsi="Montserrat"/>
          <w:b/>
          <w:color w:val="010860"/>
          <w:sz w:val="23"/>
        </w:rPr>
        <w:t>Qual o papel da EAS Paraguay?</w:t>
      </w:r>
    </w:p>
    <w:p>
      <w:pPr>
        <w:spacing w:after="120"/>
      </w:pPr>
      <w:r>
        <w:rPr>
          <w:rFonts w:ascii="Inter" w:hAnsi="Inter"/>
          <w:sz w:val="21"/>
        </w:rPr>
        <w:t xml:space="preserve">É a </w:t>
      </w:r>
      <w:r>
        <w:rPr>
          <w:rFonts w:ascii="Inter" w:hAnsi="Inter"/>
          <w:b/>
          <w:color w:val="010860"/>
          <w:sz w:val="21"/>
        </w:rPr>
        <w:t>estrutura própria da Lucro Ativo em Assunção</w:t>
      </w:r>
      <w:r>
        <w:rPr>
          <w:rFonts w:ascii="Inter" w:hAnsi="Inter"/>
          <w:sz w:val="21"/>
        </w:rPr>
        <w:t xml:space="preserve"> — equipe local e rede credenciada para despachos, registros, contabilidade e a missão presencial do cliente. É o diferencial contra a concorrência que vende consultoria à distância: </w:t>
      </w:r>
      <w:r>
        <w:rPr>
          <w:rFonts w:ascii="Inter" w:hAnsi="Inter"/>
          <w:b/>
          <w:color w:val="010860"/>
          <w:sz w:val="21"/>
        </w:rPr>
        <w:t>a Lucro Ativo opera no destino</w:t>
      </w:r>
      <w:r>
        <w:rPr>
          <w:rFonts w:ascii="Inter" w:hAnsi="Inter"/>
          <w:sz w:val="21"/>
        </w:rPr>
        <w:t>.</w:t>
      </w:r>
    </w:p>
    <w:p>
      <w:pPr>
        <w:pStyle w:val="Heading1"/>
      </w:pPr>
      <w:r>
        <w:t>BLOCO 3 — ROTA LLC · EUA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12. </w:t>
      </w:r>
      <w:r>
        <w:rPr>
          <w:rFonts w:ascii="Montserrat" w:hAnsi="Montserrat"/>
          <w:b/>
          <w:color w:val="010860"/>
          <w:sz w:val="23"/>
        </w:rPr>
        <w:t>O que é a LLC e para que ela serve?</w:t>
      </w:r>
    </w:p>
    <w:p>
      <w:pPr>
        <w:spacing w:after="120"/>
      </w:pPr>
      <w:r>
        <w:rPr>
          <w:rFonts w:ascii="Inter" w:hAnsi="Inter"/>
          <w:sz w:val="21"/>
        </w:rPr>
        <w:t xml:space="preserve">Um </w:t>
      </w:r>
      <w:r>
        <w:rPr>
          <w:rFonts w:ascii="Inter" w:hAnsi="Inter"/>
          <w:b/>
          <w:color w:val="010860"/>
          <w:sz w:val="21"/>
        </w:rPr>
        <w:t>veículo empresarial norte-americano</w:t>
      </w:r>
      <w:r>
        <w:rPr>
          <w:rFonts w:ascii="Inter" w:hAnsi="Inter"/>
          <w:sz w:val="21"/>
        </w:rPr>
        <w:t xml:space="preserve"> (Limited Liability Company) para faturar clientes no exterior, acessar o sistema financeiro dos EUA e organizar patrimônio em </w:t>
      </w:r>
      <w:r>
        <w:rPr>
          <w:rFonts w:ascii="Inter" w:hAnsi="Inter"/>
          <w:b/>
          <w:color w:val="010860"/>
          <w:sz w:val="21"/>
        </w:rPr>
        <w:t>moeda forte</w:t>
      </w:r>
      <w:r>
        <w:rPr>
          <w:rFonts w:ascii="Inter" w:hAnsi="Inter"/>
          <w:sz w:val="21"/>
        </w:rPr>
        <w:t>. Receitas de exportação de serviços, marketplaces e clientes internacionais entram direto na estrutura americana, com conta nos EUA e recebimento em dólar.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13. </w:t>
      </w:r>
      <w:r>
        <w:rPr>
          <w:rFonts w:ascii="Montserrat" w:hAnsi="Montserrat"/>
          <w:b/>
          <w:color w:val="010860"/>
          <w:sz w:val="23"/>
        </w:rPr>
        <w:t>Para quem a LLC faz sentido?</w:t>
      </w:r>
    </w:p>
    <w:p>
      <w:pPr>
        <w:spacing w:after="120"/>
      </w:pPr>
      <w:r>
        <w:rPr>
          <w:rFonts w:ascii="Inter" w:hAnsi="Inter"/>
          <w:sz w:val="21"/>
        </w:rPr>
        <w:t xml:space="preserve">Prestadores e empresas com </w:t>
      </w:r>
      <w:r>
        <w:rPr>
          <w:rFonts w:ascii="Inter" w:hAnsi="Inter"/>
          <w:b/>
          <w:color w:val="010860"/>
          <w:sz w:val="21"/>
        </w:rPr>
        <w:t>receita internacional</w:t>
      </w:r>
      <w:r>
        <w:rPr>
          <w:rFonts w:ascii="Inter" w:hAnsi="Inter"/>
          <w:sz w:val="21"/>
        </w:rPr>
        <w:t xml:space="preserve"> recebendo em estrutura brasileira; empresários buscando </w:t>
      </w:r>
      <w:r>
        <w:rPr>
          <w:rFonts w:ascii="Inter" w:hAnsi="Inter"/>
          <w:b/>
          <w:color w:val="010860"/>
          <w:sz w:val="21"/>
        </w:rPr>
        <w:t>dolarização estruturada</w:t>
      </w:r>
      <w:r>
        <w:rPr>
          <w:rFonts w:ascii="Inter" w:hAnsi="Inter"/>
          <w:sz w:val="21"/>
        </w:rPr>
        <w:t xml:space="preserve"> do caixa; e famílias organizando </w:t>
      </w:r>
      <w:r>
        <w:rPr>
          <w:rFonts w:ascii="Inter" w:hAnsi="Inter"/>
          <w:b/>
          <w:color w:val="010860"/>
          <w:sz w:val="21"/>
        </w:rPr>
        <w:t>sucessão e separação patrimonial</w:t>
      </w:r>
      <w:r>
        <w:rPr>
          <w:rFonts w:ascii="Inter" w:hAnsi="Inter"/>
          <w:sz w:val="21"/>
        </w:rPr>
        <w:t xml:space="preserve"> — o patrimônio pessoal deixa de se confundir com a operação e de depender de uma única moeda.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14. </w:t>
      </w:r>
      <w:r>
        <w:rPr>
          <w:rFonts w:ascii="Montserrat" w:hAnsi="Montserrat"/>
          <w:b/>
          <w:color w:val="010860"/>
          <w:sz w:val="23"/>
        </w:rPr>
        <w:t>LLC é "offshore escondida"?</w:t>
      </w:r>
    </w:p>
    <w:p>
      <w:pPr>
        <w:spacing w:after="120"/>
      </w:pPr>
      <w:r>
        <w:rPr>
          <w:rFonts w:ascii="Inter" w:hAnsi="Inter"/>
          <w:sz w:val="21"/>
        </w:rPr>
        <w:t xml:space="preserve">Não — e essa resposta deve ser dada com ênfase. A estrutura é </w:t>
      </w:r>
      <w:r>
        <w:rPr>
          <w:rFonts w:ascii="Inter" w:hAnsi="Inter"/>
          <w:b/>
          <w:color w:val="010860"/>
          <w:sz w:val="21"/>
        </w:rPr>
        <w:t>declarada no Brasil</w:t>
      </w:r>
      <w:r>
        <w:rPr>
          <w:rFonts w:ascii="Inter" w:hAnsi="Inter"/>
          <w:sz w:val="21"/>
        </w:rPr>
        <w:t xml:space="preserve"> (DIRPF/CBE) e desenhada à luz das regras brasileiras de tributação de investimentos no exterior (</w:t>
      </w:r>
      <w:r>
        <w:rPr>
          <w:rFonts w:ascii="Inter" w:hAnsi="Inter"/>
          <w:b/>
          <w:color w:val="010860"/>
          <w:sz w:val="21"/>
        </w:rPr>
        <w:t>Lei 14.754/2023</w:t>
      </w:r>
      <w:r>
        <w:rPr>
          <w:rFonts w:ascii="Inter" w:hAnsi="Inter"/>
          <w:sz w:val="21"/>
        </w:rPr>
        <w:t>). Eficiência sim; omissão jamais. Estrutura que depende de o fisco não ver não é planejamento, é passivo.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15. </w:t>
      </w:r>
      <w:r>
        <w:rPr>
          <w:rFonts w:ascii="Montserrat" w:hAnsi="Montserrat"/>
          <w:b/>
          <w:color w:val="010860"/>
          <w:sz w:val="23"/>
        </w:rPr>
        <w:t>Como a LLC é tributada no Brasil?</w:t>
      </w:r>
    </w:p>
    <w:p>
      <w:pPr>
        <w:spacing w:after="120"/>
      </w:pPr>
      <w:r>
        <w:rPr>
          <w:rFonts w:ascii="Inter" w:hAnsi="Inter"/>
          <w:sz w:val="21"/>
        </w:rPr>
        <w:t xml:space="preserve">Pelas regras da </w:t>
      </w:r>
      <w:r>
        <w:rPr>
          <w:rFonts w:ascii="Inter" w:hAnsi="Inter"/>
          <w:b/>
          <w:color w:val="010860"/>
          <w:sz w:val="21"/>
        </w:rPr>
        <w:t>Lei 14.754/2023</w:t>
      </w:r>
      <w:r>
        <w:rPr>
          <w:rFonts w:ascii="Inter" w:hAnsi="Inter"/>
          <w:sz w:val="21"/>
        </w:rPr>
        <w:t xml:space="preserve"> para entidades controladas no exterior — que definem quando o lucro é tributado e as opções de regime disponíveis. Regra geral: o lucro da controlada é tributado no IRPF do sócio a </w:t>
      </w:r>
      <w:r>
        <w:rPr>
          <w:rFonts w:ascii="Inter" w:hAnsi="Inter"/>
          <w:b/>
          <w:color w:val="010860"/>
          <w:sz w:val="21"/>
        </w:rPr>
        <w:t>15%</w:t>
      </w:r>
      <w:r>
        <w:rPr>
          <w:rFonts w:ascii="Inter" w:hAnsi="Inter"/>
          <w:sz w:val="21"/>
        </w:rPr>
        <w:t xml:space="preserve"> em 31/12 de cada ano, distribuído ou não; e a </w:t>
      </w:r>
      <w:r>
        <w:rPr>
          <w:rFonts w:ascii="Inter" w:hAnsi="Inter"/>
          <w:b/>
          <w:color w:val="010860"/>
          <w:sz w:val="21"/>
        </w:rPr>
        <w:t>SC COSIT 56/2026</w:t>
      </w:r>
      <w:r>
        <w:rPr>
          <w:rFonts w:ascii="Inter" w:hAnsi="Inter"/>
          <w:sz w:val="21"/>
        </w:rPr>
        <w:t xml:space="preserve"> enquadra a LLC transparente de sócio não residente nos EUA como regime fiscal privilegiado — mais um motivo para o desenho ser declarado desde o início. O enquadramento ideal depende do perfil (tipo de receita, distribuição, residência) e </w:t>
      </w:r>
      <w:r>
        <w:rPr>
          <w:rFonts w:ascii="Inter" w:hAnsi="Inter"/>
          <w:b/>
          <w:color w:val="010860"/>
          <w:sz w:val="21"/>
        </w:rPr>
        <w:t>é definido no parecer jurídico do caso</w:t>
      </w:r>
      <w:r>
        <w:rPr>
          <w:rFonts w:ascii="Inter" w:hAnsi="Inter"/>
          <w:sz w:val="21"/>
        </w:rPr>
        <w:t xml:space="preserve">. O executivo não simula tributação de LLC em reunião: </w:t>
      </w:r>
      <w:r>
        <w:rPr>
          <w:rFonts w:ascii="Inter" w:hAnsi="Inter"/>
          <w:b/>
          <w:color w:val="010860"/>
          <w:sz w:val="21"/>
        </w:rPr>
        <w:t>PARÂMETRO A VALIDAR</w:t>
      </w:r>
      <w:r>
        <w:rPr>
          <w:rFonts w:ascii="Inter" w:hAnsi="Inter"/>
          <w:sz w:val="21"/>
        </w:rPr>
        <w:t>, sempre.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16. </w:t>
      </w:r>
      <w:r>
        <w:rPr>
          <w:rFonts w:ascii="Montserrat" w:hAnsi="Montserrat"/>
          <w:b/>
          <w:color w:val="010860"/>
          <w:sz w:val="23"/>
        </w:rPr>
        <w:t>A LLC combina com a Rota Paraguai?</w:t>
      </w:r>
    </w:p>
    <w:p>
      <w:pPr>
        <w:spacing w:after="120"/>
      </w:pPr>
      <w:r>
        <w:rPr>
          <w:rFonts w:ascii="Inter" w:hAnsi="Inter"/>
          <w:sz w:val="21"/>
        </w:rPr>
        <w:t xml:space="preserve">Sim — e essa é a sofisticação do método: cada peça cuida de uma função no mesmo desenho. </w:t>
      </w:r>
      <w:r>
        <w:rPr>
          <w:rFonts w:ascii="Inter" w:hAnsi="Inter"/>
          <w:b/>
          <w:color w:val="010860"/>
          <w:sz w:val="21"/>
        </w:rPr>
        <w:t>Receita internacional</w:t>
      </w:r>
      <w:r>
        <w:rPr>
          <w:rFonts w:ascii="Inter" w:hAnsi="Inter"/>
          <w:sz w:val="21"/>
        </w:rPr>
        <w:t xml:space="preserve"> na LLC, </w:t>
      </w:r>
      <w:r>
        <w:rPr>
          <w:rFonts w:ascii="Inter" w:hAnsi="Inter"/>
          <w:b/>
          <w:color w:val="010860"/>
          <w:sz w:val="21"/>
        </w:rPr>
        <w:t>base fiscal e produção</w:t>
      </w:r>
      <w:r>
        <w:rPr>
          <w:rFonts w:ascii="Inter" w:hAnsi="Inter"/>
          <w:sz w:val="21"/>
        </w:rPr>
        <w:t xml:space="preserve"> no Paraguai, cada uma declarada onde deve. O diagnóstico define se o caso pede uma rota ou a combinação.</w:t>
      </w:r>
    </w:p>
    <w:p>
      <w:pPr>
        <w:pStyle w:val="Heading1"/>
      </w:pPr>
      <w:r>
        <w:t>BLOCO 4 — ROTA REINTEGRA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17. </w:t>
      </w:r>
      <w:r>
        <w:rPr>
          <w:rFonts w:ascii="Montserrat" w:hAnsi="Montserrat"/>
          <w:b/>
          <w:color w:val="010860"/>
          <w:sz w:val="23"/>
        </w:rPr>
        <w:t>O que é o REINTEGRA?</w:t>
      </w:r>
    </w:p>
    <w:p>
      <w:pPr>
        <w:spacing w:after="120"/>
      </w:pPr>
      <w:r>
        <w:rPr>
          <w:rFonts w:ascii="Inter" w:hAnsi="Inter"/>
          <w:sz w:val="21"/>
        </w:rPr>
        <w:t xml:space="preserve">Regime da </w:t>
      </w:r>
      <w:r>
        <w:rPr>
          <w:rFonts w:ascii="Inter" w:hAnsi="Inter"/>
          <w:b/>
          <w:color w:val="010860"/>
          <w:sz w:val="21"/>
        </w:rPr>
        <w:t>Lei 13.043/2014</w:t>
      </w:r>
      <w:r>
        <w:rPr>
          <w:rFonts w:ascii="Inter" w:hAnsi="Inter"/>
          <w:sz w:val="21"/>
        </w:rPr>
        <w:t xml:space="preserve"> que devolve ao exportador parte do </w:t>
      </w:r>
      <w:r>
        <w:rPr>
          <w:rFonts w:ascii="Inter" w:hAnsi="Inter"/>
          <w:b/>
          <w:color w:val="010860"/>
          <w:sz w:val="21"/>
        </w:rPr>
        <w:t>resíduo tributário</w:t>
      </w:r>
      <w:r>
        <w:rPr>
          <w:rFonts w:ascii="Inter" w:hAnsi="Inter"/>
          <w:sz w:val="21"/>
        </w:rPr>
        <w:t xml:space="preserve"> acumulado na cadeia produtiva dos bens exportados — tributos que se incorporaram ao custo e não foram recuperados. É um direito previsto em lei que muitas indústrias simplesmente </w:t>
      </w:r>
      <w:r>
        <w:rPr>
          <w:rFonts w:ascii="Inter" w:hAnsi="Inter"/>
          <w:b/>
          <w:color w:val="010860"/>
          <w:sz w:val="21"/>
        </w:rPr>
        <w:t>não exercem</w:t>
      </w:r>
      <w:r>
        <w:rPr>
          <w:rFonts w:ascii="Inter" w:hAnsi="Inter"/>
          <w:sz w:val="21"/>
        </w:rPr>
        <w:t>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18. </w:t>
      </w:r>
      <w:r>
        <w:rPr>
          <w:rFonts w:ascii="Montserrat" w:hAnsi="Montserrat"/>
          <w:b/>
          <w:color w:val="010860"/>
          <w:sz w:val="23"/>
        </w:rPr>
        <w:t>Quem tem direito?</w:t>
      </w:r>
    </w:p>
    <w:p>
      <w:pPr>
        <w:spacing w:after="120"/>
      </w:pPr>
      <w:r>
        <w:rPr>
          <w:rFonts w:ascii="Inter" w:hAnsi="Inter"/>
          <w:b/>
          <w:color w:val="010860"/>
          <w:sz w:val="21"/>
        </w:rPr>
        <w:t>Indústrias que exportam bens manufaturados elegíveis</w:t>
      </w:r>
      <w:r>
        <w:rPr>
          <w:rFonts w:ascii="Inter" w:hAnsi="Inter"/>
          <w:sz w:val="21"/>
        </w:rPr>
        <w:t xml:space="preserve"> — diretamente ou por meio de trading. A elegibilidade depende do produto e da operação; a triagem é parte do diagnóstico.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19. </w:t>
      </w:r>
      <w:r>
        <w:rPr>
          <w:rFonts w:ascii="Montserrat" w:hAnsi="Montserrat"/>
          <w:b/>
          <w:color w:val="010860"/>
          <w:sz w:val="23"/>
        </w:rPr>
        <w:t>Como o crédito é aproveitado?</w:t>
      </w:r>
    </w:p>
    <w:p>
      <w:pPr>
        <w:spacing w:after="120"/>
      </w:pPr>
      <w:r>
        <w:rPr>
          <w:rFonts w:ascii="Inter" w:hAnsi="Inter"/>
          <w:sz w:val="21"/>
        </w:rPr>
        <w:t xml:space="preserve">Apuração de crédito sobre a </w:t>
      </w:r>
      <w:r>
        <w:rPr>
          <w:rFonts w:ascii="Inter" w:hAnsi="Inter"/>
          <w:b/>
          <w:color w:val="010860"/>
          <w:sz w:val="21"/>
        </w:rPr>
        <w:t>receita de exportação</w:t>
      </w:r>
      <w:r>
        <w:rPr>
          <w:rFonts w:ascii="Inter" w:hAnsi="Inter"/>
          <w:sz w:val="21"/>
        </w:rPr>
        <w:t xml:space="preserve">, aproveitável para </w:t>
      </w:r>
      <w:r>
        <w:rPr>
          <w:rFonts w:ascii="Inter" w:hAnsi="Inter"/>
          <w:b/>
          <w:color w:val="010860"/>
          <w:sz w:val="21"/>
        </w:rPr>
        <w:t>compensar tributos federais</w:t>
      </w:r>
      <w:r>
        <w:rPr>
          <w:rFonts w:ascii="Inter" w:hAnsi="Inter"/>
          <w:sz w:val="21"/>
        </w:rPr>
        <w:t xml:space="preserve"> ou para </w:t>
      </w:r>
      <w:r>
        <w:rPr>
          <w:rFonts w:ascii="Inter" w:hAnsi="Inter"/>
          <w:b/>
          <w:color w:val="010860"/>
          <w:sz w:val="21"/>
        </w:rPr>
        <w:t>pedido de ressarcimento</w:t>
      </w:r>
      <w:r>
        <w:rPr>
          <w:rFonts w:ascii="Inter" w:hAnsi="Inter"/>
          <w:sz w:val="21"/>
        </w:rPr>
        <w:t xml:space="preserve"> — procedimento administrativo, sem litígio. O efeito é caixa: recupera margem sem mudar a operação, e muitas vezes financia o próprio projeto de internacionalização.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20. </w:t>
      </w:r>
      <w:r>
        <w:rPr>
          <w:rFonts w:ascii="Montserrat" w:hAnsi="Montserrat"/>
          <w:b/>
          <w:color w:val="010860"/>
          <w:sz w:val="23"/>
        </w:rPr>
        <w:t>Qual o percentual do REINTEGRA?</w:t>
      </w:r>
    </w:p>
    <w:p>
      <w:pPr>
        <w:spacing w:after="120"/>
      </w:pPr>
      <w:r>
        <w:rPr>
          <w:rFonts w:ascii="Inter" w:hAnsi="Inter"/>
          <w:sz w:val="21"/>
        </w:rPr>
        <w:t xml:space="preserve">O percentual é </w:t>
      </w:r>
      <w:r>
        <w:rPr>
          <w:rFonts w:ascii="Inter" w:hAnsi="Inter"/>
          <w:b/>
          <w:color w:val="010860"/>
          <w:sz w:val="21"/>
        </w:rPr>
        <w:t>fixado por decreto e varia no tempo</w:t>
      </w:r>
      <w:r>
        <w:rPr>
          <w:rFonts w:ascii="Inter" w:hAnsi="Inter"/>
          <w:sz w:val="21"/>
        </w:rPr>
        <w:t xml:space="preserve">. Hoje: </w:t>
      </w:r>
      <w:r>
        <w:rPr>
          <w:rFonts w:ascii="Inter" w:hAnsi="Inter"/>
          <w:b/>
          <w:color w:val="010860"/>
          <w:sz w:val="21"/>
        </w:rPr>
        <w:t>0,1%</w:t>
      </w:r>
      <w:r>
        <w:rPr>
          <w:rFonts w:ascii="Inter" w:hAnsi="Inter"/>
          <w:sz w:val="21"/>
        </w:rPr>
        <w:t xml:space="preserve"> como alíquota geral (Decreto 9.393/2018) e </w:t>
      </w:r>
      <w:r>
        <w:rPr>
          <w:rFonts w:ascii="Inter" w:hAnsi="Inter"/>
          <w:b/>
          <w:color w:val="010860"/>
          <w:sz w:val="21"/>
        </w:rPr>
        <w:t>3% para MEI, ME e EPP</w:t>
      </w:r>
      <w:r>
        <w:rPr>
          <w:rFonts w:ascii="Inter" w:hAnsi="Inter"/>
          <w:sz w:val="21"/>
        </w:rPr>
        <w:t xml:space="preserve"> exportadores, de 01/08/2025 a 31/12/2026 (Decreto 12.565/2025). O executivo pode citar essas alíquotas legais, mas </w:t>
      </w:r>
      <w:r>
        <w:rPr>
          <w:rFonts w:ascii="Inter" w:hAnsi="Inter"/>
          <w:b/>
          <w:color w:val="010860"/>
          <w:sz w:val="21"/>
        </w:rPr>
        <w:t>não projeta valor de crédito em reunião</w:t>
      </w:r>
      <w:r>
        <w:rPr>
          <w:rFonts w:ascii="Inter" w:hAnsi="Inter"/>
          <w:sz w:val="21"/>
        </w:rPr>
        <w:t xml:space="preserve">: a alíquota aplicável ao caso, o período e o eventual alcance retroativo são confirmados pelo jurídico antes de qualquer projeção. </w:t>
      </w:r>
      <w:r>
        <w:rPr>
          <w:rFonts w:ascii="Inter" w:hAnsi="Inter"/>
          <w:b/>
          <w:color w:val="010860"/>
          <w:sz w:val="21"/>
        </w:rPr>
        <w:t>PARÂMETRO A VALIDAR</w:t>
      </w:r>
      <w:r>
        <w:rPr>
          <w:rFonts w:ascii="Inter" w:hAnsi="Inter"/>
          <w:sz w:val="21"/>
        </w:rPr>
        <w:t xml:space="preserve"> — sem exceção. Atenção à janela: o REINTEGRA na forma atual é extinto em janeiro de 2027, com a entrada da CBS.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21. </w:t>
      </w:r>
      <w:r>
        <w:rPr>
          <w:rFonts w:ascii="Montserrat" w:hAnsi="Montserrat"/>
          <w:b/>
          <w:color w:val="010860"/>
          <w:sz w:val="23"/>
        </w:rPr>
        <w:t>Dá para recuperar períodos passados?</w:t>
      </w:r>
    </w:p>
    <w:p>
      <w:pPr>
        <w:spacing w:after="120"/>
      </w:pPr>
      <w:r>
        <w:rPr>
          <w:rFonts w:ascii="Inter" w:hAnsi="Inter"/>
          <w:sz w:val="21"/>
        </w:rPr>
        <w:t xml:space="preserve">A possibilidade de aproveitar competências anteriores depende da situação da empresa e das regras vigentes em cada período. É análise documental, feita no diagnóstico — o executivo apresenta a </w:t>
      </w:r>
      <w:r>
        <w:rPr>
          <w:rFonts w:ascii="Inter" w:hAnsi="Inter"/>
          <w:b/>
          <w:color w:val="010860"/>
          <w:sz w:val="21"/>
        </w:rPr>
        <w:t>tese</w:t>
      </w:r>
      <w:r>
        <w:rPr>
          <w:rFonts w:ascii="Inter" w:hAnsi="Inter"/>
          <w:sz w:val="21"/>
        </w:rPr>
        <w:t xml:space="preserve">, não o valor. Referência de trabalho: revisão dos últimos </w:t>
      </w:r>
      <w:r>
        <w:rPr>
          <w:rFonts w:ascii="Inter" w:hAnsi="Inter"/>
          <w:b/>
          <w:color w:val="010860"/>
          <w:sz w:val="21"/>
        </w:rPr>
        <w:t>5 anos</w:t>
      </w:r>
      <w:r>
        <w:rPr>
          <w:rFonts w:ascii="Inter" w:hAnsi="Inter"/>
          <w:sz w:val="21"/>
        </w:rPr>
        <w:t xml:space="preserve"> de exportações sem crédito apurado, via PER/DCOMP (</w:t>
      </w:r>
      <w:r>
        <w:rPr>
          <w:rFonts w:ascii="Inter" w:hAnsi="Inter"/>
          <w:b/>
          <w:color w:val="010860"/>
          <w:sz w:val="21"/>
        </w:rPr>
        <w:t>PARÂMETRO A VALIDAR</w:t>
      </w:r>
      <w:r>
        <w:rPr>
          <w:rFonts w:ascii="Inter" w:hAnsi="Inter"/>
          <w:sz w:val="21"/>
        </w:rPr>
        <w:t>).</w:t>
      </w:r>
    </w:p>
    <w:p>
      <w:pPr>
        <w:pStyle w:val="Heading1"/>
      </w:pPr>
      <w:r>
        <w:t>BLOCO 5 — JORNADA E OPERAÇÃO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22. </w:t>
      </w:r>
      <w:r>
        <w:rPr>
          <w:rFonts w:ascii="Montserrat" w:hAnsi="Montserrat"/>
          <w:b/>
          <w:color w:val="010860"/>
          <w:sz w:val="23"/>
        </w:rPr>
        <w:t>Quais são as etapas da Rota Fiscal?</w:t>
      </w:r>
    </w:p>
    <w:p>
      <w:pPr>
        <w:spacing w:after="120"/>
      </w:pPr>
      <w:r>
        <w:rPr>
          <w:rFonts w:ascii="Inter" w:hAnsi="Inter"/>
          <w:sz w:val="21"/>
        </w:rPr>
        <w:t>Seis, cada uma com responsável, prazo e evidência documental:</w:t>
      </w:r>
    </w:p>
    <w:p>
      <w:pPr>
        <w:pStyle w:val="ListBullet"/>
      </w:pPr>
      <w:r>
        <w:rPr>
          <w:rFonts w:ascii="Inter" w:hAnsi="Inter"/>
          <w:b/>
          <w:color w:val="010860"/>
        </w:rPr>
        <w:t>1. Diagnóstico</w:t>
      </w:r>
      <w:r>
        <w:rPr>
          <w:rFonts w:ascii="Inter" w:hAnsi="Inter"/>
        </w:rPr>
        <w:t xml:space="preserve"> — raio-X tributário e patrimonial: situação na Receita, DIRPF, estrutura societária e objetivos.</w:t>
      </w:r>
    </w:p>
    <w:p>
      <w:pPr>
        <w:pStyle w:val="ListBullet"/>
      </w:pPr>
      <w:r>
        <w:rPr>
          <w:rFonts w:ascii="Inter" w:hAnsi="Inter"/>
          <w:b/>
          <w:color w:val="010860"/>
        </w:rPr>
        <w:t>2. Desenho da rota</w:t>
      </w:r>
      <w:r>
        <w:rPr>
          <w:rFonts w:ascii="Inter" w:hAnsi="Inter"/>
        </w:rPr>
        <w:t xml:space="preserve"> — definição da rota (ou combinação), modalidade de residência/estrutura, parecer e cronograma.</w:t>
      </w:r>
    </w:p>
    <w:p>
      <w:pPr>
        <w:pStyle w:val="ListBullet"/>
      </w:pPr>
      <w:r>
        <w:rPr>
          <w:rFonts w:ascii="Inter" w:hAnsi="Inter"/>
          <w:b/>
          <w:color w:val="010860"/>
        </w:rPr>
        <w:t>3. Documentação</w:t>
      </w:r>
      <w:r>
        <w:rPr>
          <w:rFonts w:ascii="Inter" w:hAnsi="Inter"/>
        </w:rPr>
        <w:t xml:space="preserve"> — certidões, autenticações, apostilamento de Haia e tradução juramentada: o dossiê completo antes de qualquer ato.</w:t>
      </w:r>
    </w:p>
    <w:p>
      <w:pPr>
        <w:pStyle w:val="ListBullet"/>
      </w:pPr>
      <w:r>
        <w:rPr>
          <w:rFonts w:ascii="Inter" w:hAnsi="Inter"/>
          <w:b/>
          <w:color w:val="010860"/>
        </w:rPr>
        <w:t>4. Planejamento da saída</w:t>
      </w:r>
      <w:r>
        <w:rPr>
          <w:rFonts w:ascii="Inter" w:hAnsi="Inter"/>
        </w:rPr>
        <w:t xml:space="preserve"> — quando aplicável: DIRPF regularizada e Declaração de Saída Definitiva, sem bitributação nem pendência.</w:t>
      </w:r>
    </w:p>
    <w:p>
      <w:pPr>
        <w:pStyle w:val="ListBullet"/>
      </w:pPr>
      <w:r>
        <w:rPr>
          <w:rFonts w:ascii="Inter" w:hAnsi="Inter"/>
          <w:b/>
          <w:color w:val="010860"/>
        </w:rPr>
        <w:t>5. Missão presencial</w:t>
      </w:r>
      <w:r>
        <w:rPr>
          <w:rFonts w:ascii="Inter" w:hAnsi="Inter"/>
        </w:rPr>
        <w:t xml:space="preserve"> — agenda organizada no destino: migrações, registros e abertura da estrutura, com acompanhamento local.</w:t>
      </w:r>
    </w:p>
    <w:p>
      <w:pPr>
        <w:pStyle w:val="ListBullet"/>
      </w:pPr>
      <w:r>
        <w:rPr>
          <w:rFonts w:ascii="Inter" w:hAnsi="Inter"/>
          <w:b/>
          <w:color w:val="010860"/>
        </w:rPr>
        <w:t>6. Ativação e manutenção</w:t>
      </w:r>
      <w:r>
        <w:rPr>
          <w:rFonts w:ascii="Inter" w:hAnsi="Inter"/>
        </w:rPr>
        <w:t xml:space="preserve"> — RUC/registros ativos, contabilidade local e calendário de obrigações: estrutura viva.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23. </w:t>
      </w:r>
      <w:r>
        <w:rPr>
          <w:rFonts w:ascii="Montserrat" w:hAnsi="Montserrat"/>
          <w:b/>
          <w:color w:val="010860"/>
          <w:sz w:val="23"/>
        </w:rPr>
        <w:t>Quanto tempo leva?</w:t>
      </w:r>
    </w:p>
    <w:p>
      <w:pPr>
        <w:spacing w:after="120"/>
      </w:pPr>
      <w:r>
        <w:rPr>
          <w:rFonts w:ascii="Inter" w:hAnsi="Inter"/>
          <w:sz w:val="21"/>
        </w:rPr>
        <w:t xml:space="preserve">Depende da rota, do perfil migratório e da documentação do cliente. O </w:t>
      </w:r>
      <w:r>
        <w:rPr>
          <w:rFonts w:ascii="Inter" w:hAnsi="Inter"/>
          <w:b/>
          <w:color w:val="010860"/>
          <w:sz w:val="21"/>
        </w:rPr>
        <w:t>cronograma sai no parecer da etapa 2</w:t>
      </w:r>
      <w:r>
        <w:rPr>
          <w:rFonts w:ascii="Inter" w:hAnsi="Inter"/>
          <w:sz w:val="21"/>
        </w:rPr>
        <w:t xml:space="preserve"> — personalizado e por escrito. O executivo não promete prazo fechado em reunião: apresenta o método e a etapa em que o prazo é assumido formalmente.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24. </w:t>
      </w:r>
      <w:r>
        <w:rPr>
          <w:rFonts w:ascii="Montserrat" w:hAnsi="Montserrat"/>
          <w:b/>
          <w:color w:val="010860"/>
          <w:sz w:val="23"/>
        </w:rPr>
        <w:t>O que o cliente precisa apresentar?</w:t>
      </w:r>
    </w:p>
    <w:p>
      <w:pPr>
        <w:spacing w:after="120"/>
      </w:pPr>
      <w:r>
        <w:rPr>
          <w:rFonts w:ascii="Inter" w:hAnsi="Inter"/>
          <w:sz w:val="21"/>
        </w:rPr>
        <w:t xml:space="preserve">No diagnóstico: situação fiscal na Receita, </w:t>
      </w:r>
      <w:r>
        <w:rPr>
          <w:rFonts w:ascii="Inter" w:hAnsi="Inter"/>
          <w:b/>
          <w:color w:val="010860"/>
          <w:sz w:val="21"/>
        </w:rPr>
        <w:t>DIRPF recente</w:t>
      </w:r>
      <w:r>
        <w:rPr>
          <w:rFonts w:ascii="Inter" w:hAnsi="Inter"/>
          <w:sz w:val="21"/>
        </w:rPr>
        <w:t>, estrutura societária e uma conversa franca sobre objetivos (receita, patrimônio, família, plano de vida). A lista documental completa vem na etapa 3, organizada pela equipe — o cliente não "corre atrás" sozinho.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25. </w:t>
      </w:r>
      <w:r>
        <w:rPr>
          <w:rFonts w:ascii="Montserrat" w:hAnsi="Montserrat"/>
          <w:b/>
          <w:color w:val="010860"/>
          <w:sz w:val="23"/>
        </w:rPr>
        <w:t>Como funciona a missão presencial?</w:t>
      </w:r>
    </w:p>
    <w:p>
      <w:pPr>
        <w:spacing w:after="120"/>
      </w:pPr>
      <w:r>
        <w:rPr>
          <w:rFonts w:ascii="Inter" w:hAnsi="Inter"/>
          <w:sz w:val="21"/>
        </w:rPr>
        <w:t xml:space="preserve">A equipe organiza a </w:t>
      </w:r>
      <w:r>
        <w:rPr>
          <w:rFonts w:ascii="Inter" w:hAnsi="Inter"/>
          <w:b/>
          <w:color w:val="010860"/>
          <w:sz w:val="21"/>
        </w:rPr>
        <w:t>agenda no destino</w:t>
      </w:r>
      <w:r>
        <w:rPr>
          <w:rFonts w:ascii="Inter" w:hAnsi="Inter"/>
          <w:sz w:val="21"/>
        </w:rPr>
        <w:t xml:space="preserve"> — migrações, registros, abertura de contas e da estrutura — e acompanha o cliente localmente. É a etapa em que a EAS Paraguay faz diferença visível: o cliente chega com hora marcada, não com um guia turístico.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26. </w:t>
      </w:r>
      <w:r>
        <w:rPr>
          <w:rFonts w:ascii="Montserrat" w:hAnsi="Montserrat"/>
          <w:b/>
          <w:color w:val="010860"/>
          <w:sz w:val="23"/>
        </w:rPr>
        <w:t>E depois de ativado, acaba?</w:t>
      </w:r>
    </w:p>
    <w:p>
      <w:pPr>
        <w:spacing w:after="120"/>
      </w:pPr>
      <w:r>
        <w:rPr>
          <w:rFonts w:ascii="Inter" w:hAnsi="Inter"/>
          <w:sz w:val="21"/>
        </w:rPr>
        <w:t xml:space="preserve">Não — e este é um ponto comercial importante: a rota inclui </w:t>
      </w:r>
      <w:r>
        <w:rPr>
          <w:rFonts w:ascii="Inter" w:hAnsi="Inter"/>
          <w:b/>
          <w:color w:val="010860"/>
          <w:sz w:val="21"/>
        </w:rPr>
        <w:t>manutenção</w:t>
      </w:r>
      <w:r>
        <w:rPr>
          <w:rFonts w:ascii="Inter" w:hAnsi="Inter"/>
          <w:sz w:val="21"/>
        </w:rPr>
        <w:t>. Contabilidade local, calendário de obrigações e conformidade contínua nos dois países. Estrutura abandonada vira passivo; estrutura mantida vira ativo.</w:t>
      </w:r>
    </w:p>
    <w:p>
      <w:pPr>
        <w:pStyle w:val="Heading1"/>
      </w:pPr>
      <w:r>
        <w:t>BLOCO 6 — OBJEÇÕES FREQUENTES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27. </w:t>
      </w:r>
      <w:r>
        <w:rPr>
          <w:rFonts w:ascii="Montserrat" w:hAnsi="Montserrat"/>
          <w:b/>
          <w:color w:val="010860"/>
          <w:sz w:val="23"/>
        </w:rPr>
        <w:t>"Isso é coisa de quem quer fugir do fisco."</w:t>
      </w:r>
    </w:p>
    <w:p>
      <w:pPr>
        <w:spacing w:after="120"/>
      </w:pPr>
      <w:r>
        <w:rPr>
          <w:rFonts w:ascii="Inter" w:hAnsi="Inter"/>
          <w:sz w:val="21"/>
        </w:rPr>
        <w:t xml:space="preserve">Internacionalizar </w:t>
      </w:r>
      <w:r>
        <w:rPr>
          <w:rFonts w:ascii="Inter" w:hAnsi="Inter"/>
          <w:b/>
          <w:color w:val="010860"/>
          <w:sz w:val="21"/>
        </w:rPr>
        <w:t>não é fugir: é escolher, dentro da lei</w:t>
      </w:r>
      <w:r>
        <w:rPr>
          <w:rFonts w:ascii="Inter" w:hAnsi="Inter"/>
          <w:sz w:val="21"/>
        </w:rPr>
        <w:t>, a jurisdição e a estrutura mais eficientes para cada parte do negócio — o mesmo que qualquer multinacional faz. A prova está no método: tudo declarado, nos dois países, com advocacia na condução. Quem quer se esconder não contrata quem formaliza.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28. </w:t>
      </w:r>
      <w:r>
        <w:rPr>
          <w:rFonts w:ascii="Montserrat" w:hAnsi="Montserrat"/>
          <w:b/>
          <w:color w:val="010860"/>
          <w:sz w:val="23"/>
        </w:rPr>
        <w:t>"Não vou acabar pagando imposto duas vezes?"</w:t>
      </w:r>
    </w:p>
    <w:p>
      <w:pPr>
        <w:spacing w:after="120"/>
      </w:pPr>
      <w:r>
        <w:rPr>
          <w:rFonts w:ascii="Inter" w:hAnsi="Inter"/>
          <w:sz w:val="21"/>
        </w:rPr>
        <w:t xml:space="preserve">É exatamente o que o </w:t>
      </w:r>
      <w:r>
        <w:rPr>
          <w:rFonts w:ascii="Inter" w:hAnsi="Inter"/>
          <w:b/>
          <w:color w:val="010860"/>
          <w:sz w:val="21"/>
        </w:rPr>
        <w:t>planejamento da saída</w:t>
      </w:r>
      <w:r>
        <w:rPr>
          <w:rFonts w:ascii="Inter" w:hAnsi="Inter"/>
          <w:sz w:val="21"/>
        </w:rPr>
        <w:t xml:space="preserve"> evita: DIRPF regularizada, Declaração de Saída Definitiva quando aplicável e desenho da estrutura à luz das regras brasileiras. Bitributação é sintoma de internacionalização </w:t>
      </w:r>
      <w:r>
        <w:rPr>
          <w:rFonts w:ascii="Inter" w:hAnsi="Inter"/>
          <w:b/>
          <w:color w:val="010860"/>
          <w:sz w:val="21"/>
        </w:rPr>
        <w:t>sem método</w:t>
      </w:r>
      <w:r>
        <w:rPr>
          <w:rFonts w:ascii="Inter" w:hAnsi="Inter"/>
          <w:sz w:val="21"/>
        </w:rPr>
        <w:t xml:space="preserve"> — o problema que a Rota Fiscal resolve, não o que ela cria.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29. </w:t>
      </w:r>
      <w:r>
        <w:rPr>
          <w:rFonts w:ascii="Montserrat" w:hAnsi="Montserrat"/>
          <w:b/>
          <w:color w:val="010860"/>
          <w:sz w:val="23"/>
        </w:rPr>
        <w:t>"Paraguai é seguro juridicamente?"</w:t>
      </w:r>
    </w:p>
    <w:p>
      <w:pPr>
        <w:spacing w:after="120"/>
      </w:pPr>
      <w:r>
        <w:rPr>
          <w:rFonts w:ascii="Inter" w:hAnsi="Inter"/>
          <w:sz w:val="21"/>
        </w:rPr>
        <w:t xml:space="preserve">O sistema tributário paraguaio é </w:t>
      </w:r>
      <w:r>
        <w:rPr>
          <w:rFonts w:ascii="Inter" w:hAnsi="Inter"/>
          <w:b/>
          <w:color w:val="010860"/>
          <w:sz w:val="21"/>
        </w:rPr>
        <w:t>simples e estável</w:t>
      </w:r>
      <w:r>
        <w:rPr>
          <w:rFonts w:ascii="Inter" w:hAnsi="Inter"/>
          <w:sz w:val="21"/>
        </w:rPr>
        <w:t xml:space="preserve"> — poucas regras, alíquotas baixas, dentro do Mercosul. E o cliente não vai sozinho: a Lucro Ativo tem </w:t>
      </w:r>
      <w:r>
        <w:rPr>
          <w:rFonts w:ascii="Inter" w:hAnsi="Inter"/>
          <w:b/>
          <w:color w:val="010860"/>
          <w:sz w:val="21"/>
        </w:rPr>
        <w:t>estrutura própria em Assunção</w:t>
      </w:r>
      <w:r>
        <w:rPr>
          <w:rFonts w:ascii="Inter" w:hAnsi="Inter"/>
          <w:sz w:val="21"/>
        </w:rPr>
        <w:t>, com equipe local e rede credenciada. A segurança vem da formalização e da presença — não de promessa.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30. </w:t>
      </w:r>
      <w:r>
        <w:rPr>
          <w:rFonts w:ascii="Montserrat" w:hAnsi="Montserrat"/>
          <w:b/>
          <w:color w:val="010860"/>
          <w:sz w:val="23"/>
        </w:rPr>
        <w:t>"Posso fazer isso sozinho ou com um despachante."</w:t>
      </w:r>
    </w:p>
    <w:p>
      <w:pPr>
        <w:spacing w:after="120"/>
      </w:pPr>
      <w:r>
        <w:rPr>
          <w:rFonts w:ascii="Inter" w:hAnsi="Inter"/>
          <w:sz w:val="21"/>
        </w:rPr>
        <w:t xml:space="preserve">Pode — e é assim que nascem os problemas clássicos: residência "fantasma", CBE omitido, DIRPF inconsistente, estrutura aberta e abandonada. A Rota Fiscal é </w:t>
      </w:r>
      <w:r>
        <w:rPr>
          <w:rFonts w:ascii="Inter" w:hAnsi="Inter"/>
          <w:b/>
          <w:color w:val="010860"/>
          <w:sz w:val="21"/>
        </w:rPr>
        <w:t>advocacia tributária especializada</w:t>
      </w:r>
      <w:r>
        <w:rPr>
          <w:rFonts w:ascii="Inter" w:hAnsi="Inter"/>
          <w:sz w:val="21"/>
        </w:rPr>
        <w:t xml:space="preserve"> conduzindo cada etapa com evidência documental. O barato do despachante custa caro na primeira fiscalização.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31. </w:t>
      </w:r>
      <w:r>
        <w:rPr>
          <w:rFonts w:ascii="Montserrat" w:hAnsi="Montserrat"/>
          <w:b/>
          <w:color w:val="010860"/>
          <w:sz w:val="23"/>
        </w:rPr>
        <w:t>"Quanto custa?"</w:t>
      </w:r>
    </w:p>
    <w:p>
      <w:pPr>
        <w:spacing w:after="120"/>
      </w:pPr>
      <w:r>
        <w:rPr>
          <w:rFonts w:ascii="Inter" w:hAnsi="Inter"/>
          <w:sz w:val="21"/>
        </w:rPr>
        <w:t xml:space="preserve">Honorários e custos são apresentados </w:t>
      </w:r>
      <w:r>
        <w:rPr>
          <w:rFonts w:ascii="Inter" w:hAnsi="Inter"/>
          <w:b/>
          <w:color w:val="010860"/>
          <w:sz w:val="21"/>
        </w:rPr>
        <w:t>após o diagnóstico</w:t>
      </w:r>
      <w:r>
        <w:rPr>
          <w:rFonts w:ascii="Inter" w:hAnsi="Inter"/>
          <w:sz w:val="21"/>
        </w:rPr>
        <w:t xml:space="preserve">, porque dependem da rota e do desenho — número antes disso seria chute, e a casa não chuta. A conversa certa é outra: comparar o investimento com o </w:t>
      </w:r>
      <w:r>
        <w:rPr>
          <w:rFonts w:ascii="Inter" w:hAnsi="Inter"/>
          <w:b/>
          <w:color w:val="010860"/>
          <w:sz w:val="21"/>
        </w:rPr>
        <w:t>custo de permanecer como está</w:t>
      </w:r>
      <w:r>
        <w:rPr>
          <w:rFonts w:ascii="Inter" w:hAnsi="Inter"/>
          <w:sz w:val="21"/>
        </w:rPr>
        <w:t xml:space="preserve">, entregando ao fisco a margem que poderia virar reinvestimento. </w:t>
      </w:r>
      <w:r>
        <w:rPr>
          <w:rFonts w:ascii="Inter" w:hAnsi="Inter"/>
          <w:b/>
          <w:color w:val="010860"/>
          <w:sz w:val="21"/>
        </w:rPr>
        <w:t>PARÂMETRO A VALIDAR</w:t>
      </w:r>
      <w:r>
        <w:rPr>
          <w:rFonts w:ascii="Inter" w:hAnsi="Inter"/>
          <w:sz w:val="21"/>
        </w:rPr>
        <w:t xml:space="preserve"> antes de qualquer proposta.</w:t>
      </w:r>
    </w:p>
    <w:p>
      <w:pPr>
        <w:keepNext/>
        <w:spacing w:before="240" w:after="60"/>
      </w:pPr>
      <w:r>
        <w:rPr>
          <w:rFonts w:ascii="Montserrat" w:hAnsi="Montserrat"/>
          <w:b/>
          <w:color w:val="8A6D0D"/>
          <w:sz w:val="23"/>
        </w:rPr>
        <w:t xml:space="preserve">▸  32. </w:t>
      </w:r>
      <w:r>
        <w:rPr>
          <w:rFonts w:ascii="Montserrat" w:hAnsi="Montserrat"/>
          <w:b/>
          <w:color w:val="010860"/>
          <w:sz w:val="23"/>
        </w:rPr>
        <w:t>"Com a Reforma Tributária, não é melhor esperar?"</w:t>
      </w:r>
    </w:p>
    <w:p>
      <w:pPr>
        <w:spacing w:after="120"/>
      </w:pPr>
      <w:r>
        <w:rPr>
          <w:rFonts w:ascii="Inter" w:hAnsi="Inter"/>
          <w:sz w:val="21"/>
        </w:rPr>
        <w:t xml:space="preserve">Ao contrário: a transição (2026–2033) impõe </w:t>
      </w:r>
      <w:r>
        <w:rPr>
          <w:rFonts w:ascii="Inter" w:hAnsi="Inter"/>
          <w:b/>
          <w:color w:val="010860"/>
          <w:sz w:val="21"/>
        </w:rPr>
        <w:t>dois sistemas em paralelo</w:t>
      </w:r>
      <w:r>
        <w:rPr>
          <w:rFonts w:ascii="Inter" w:hAnsi="Inter"/>
          <w:sz w:val="21"/>
        </w:rPr>
        <w:t xml:space="preserve"> — CBS/IBS convivendo com o modelo atual — elevando o custo de conformidade justamente para quem produz. Esperar é aceitar anos de complexidade dobrada com carga concentrada numa única jurisdição. Diversificar é a resposta racional ao cenário, não uma aposta contra ele.</w:t>
      </w:r>
    </w:p>
    <w:p>
      <w:pPr>
        <w:pStyle w:val="Heading1"/>
      </w:pPr>
      <w:r>
        <w:t>BASE NORMATIVA DE REFERÊNCIA</w:t>
      </w:r>
    </w:p>
    <w:p>
      <w:pPr>
        <w:spacing w:after="120"/>
      </w:pPr>
      <w:r>
        <w:rPr>
          <w:rFonts w:ascii="Inter" w:hAnsi="Inter"/>
          <w:sz w:val="21"/>
        </w:rPr>
        <w:t>Âncoras que o executivo pode citar — sem improvisar detalhe de rito. A leitura fina é do jurídico.</w:t>
      </w:r>
    </w:p>
    <w:p>
      <w:pPr>
        <w:pStyle w:val="ListBullet"/>
      </w:pPr>
      <w:r>
        <w:rPr>
          <w:rFonts w:ascii="Inter" w:hAnsi="Inter"/>
          <w:b/>
          <w:color w:val="010860"/>
        </w:rPr>
        <w:t>Lei 7.547/2025 e Decreto 5.714/2026 (Paraguai)</w:t>
      </w:r>
      <w:r>
        <w:rPr>
          <w:rFonts w:ascii="Inter" w:hAnsi="Inter"/>
        </w:rPr>
        <w:t xml:space="preserve"> — novo regime de maquila (bens e serviços): tributo único de 1% sobre o valor agregado local ou sobre a fatura de exportação; substitui a Lei 1.064/97. Tramitação digital no CNIME (Resolução SE-CNIME 14/2026).</w:t>
      </w:r>
    </w:p>
    <w:p>
      <w:pPr>
        <w:pStyle w:val="ListBullet"/>
      </w:pPr>
      <w:r>
        <w:rPr>
          <w:rFonts w:ascii="Inter" w:hAnsi="Inter"/>
          <w:b/>
          <w:color w:val="010860"/>
        </w:rPr>
        <w:t>Decreto 9.393/2018 e Decreto 12.565/2025</w:t>
      </w:r>
      <w:r>
        <w:rPr>
          <w:rFonts w:ascii="Inter" w:hAnsi="Inter"/>
        </w:rPr>
        <w:t xml:space="preserve"> — alíquotas do REINTEGRA: 0,1% geral; 3% para MEI, ME e EPP entre 01/08/2025 e 31/12/2026 (Programa Acredita Exportação, LC 216/2025).</w:t>
      </w:r>
    </w:p>
    <w:p>
      <w:pPr>
        <w:pStyle w:val="ListBullet"/>
      </w:pPr>
      <w:r>
        <w:rPr>
          <w:rFonts w:ascii="Inter" w:hAnsi="Inter"/>
          <w:b/>
          <w:color w:val="010860"/>
        </w:rPr>
        <w:t>Lei 13.043/2014, arts. 21 a 29</w:t>
      </w:r>
      <w:r>
        <w:rPr>
          <w:rFonts w:ascii="Inter" w:hAnsi="Inter"/>
        </w:rPr>
        <w:t xml:space="preserve"> — institui o REINTEGRA: devolução de resíduo tributário ao exportador de bens manufaturados; percentual fixado por decreto.</w:t>
      </w:r>
    </w:p>
    <w:p>
      <w:pPr>
        <w:pStyle w:val="ListBullet"/>
      </w:pPr>
      <w:r>
        <w:rPr>
          <w:rFonts w:ascii="Inter" w:hAnsi="Inter"/>
          <w:b/>
          <w:color w:val="010860"/>
        </w:rPr>
        <w:t>Lei 14.754/2023</w:t>
      </w:r>
      <w:r>
        <w:rPr>
          <w:rFonts w:ascii="Inter" w:hAnsi="Inter"/>
        </w:rPr>
        <w:t xml:space="preserve"> — tributação brasileira de investimentos e entidades controladas no exterior (base do desenho da LLC declarada): regra geral de 15% sobre o lucro da controlada em 31/12 de cada ano.</w:t>
      </w:r>
    </w:p>
    <w:p>
      <w:pPr>
        <w:pStyle w:val="ListBullet"/>
      </w:pPr>
      <w:r>
        <w:rPr>
          <w:rFonts w:ascii="Inter" w:hAnsi="Inter"/>
          <w:b/>
          <w:color w:val="010860"/>
        </w:rPr>
        <w:t>Solução de Consulta COSIT 56/2026</w:t>
      </w:r>
      <w:r>
        <w:rPr>
          <w:rFonts w:ascii="Inter" w:hAnsi="Inter"/>
        </w:rPr>
        <w:t xml:space="preserve"> — enquadra a LLC transparente com sócios não residentes nos EUA como regime fiscal privilegiado (IN RFB 1.037/2010, art. 2º, VII).</w:t>
      </w:r>
    </w:p>
    <w:p>
      <w:pPr>
        <w:pStyle w:val="ListBullet"/>
      </w:pPr>
      <w:r>
        <w:rPr>
          <w:rFonts w:ascii="Inter" w:hAnsi="Inter"/>
          <w:b/>
          <w:color w:val="010860"/>
        </w:rPr>
        <w:t>Lei 14.596/2023</w:t>
      </w:r>
      <w:r>
        <w:rPr>
          <w:rFonts w:ascii="Inter" w:hAnsi="Inter"/>
        </w:rPr>
        <w:t xml:space="preserve"> — novas regras brasileiras de preços de transferência (padrão OCDE), aplicáveis às operações entre a empresa brasileira e a estrutura no exterior.</w:t>
      </w:r>
    </w:p>
    <w:p>
      <w:pPr>
        <w:pStyle w:val="ListBullet"/>
      </w:pPr>
      <w:r>
        <w:rPr>
          <w:rFonts w:ascii="Inter" w:hAnsi="Inter"/>
          <w:b/>
          <w:color w:val="010860"/>
        </w:rPr>
        <w:t>Declaração de Saída Definitiva do País (DSDP)</w:t>
      </w:r>
      <w:r>
        <w:rPr>
          <w:rFonts w:ascii="Inter" w:hAnsi="Inter"/>
        </w:rPr>
        <w:t xml:space="preserve"> — procedimento da Receita Federal para o encerramento da residência fiscal brasileira.</w:t>
      </w:r>
    </w:p>
    <w:p>
      <w:pPr>
        <w:pStyle w:val="ListBullet"/>
      </w:pPr>
      <w:r>
        <w:rPr>
          <w:rFonts w:ascii="Inter" w:hAnsi="Inter"/>
          <w:b/>
          <w:color w:val="010860"/>
        </w:rPr>
        <w:t>Declaração de Capitais Brasileiros no Exterior (CBE/Bacen)</w:t>
      </w:r>
      <w:r>
        <w:rPr>
          <w:rFonts w:ascii="Inter" w:hAnsi="Inter"/>
        </w:rPr>
        <w:t xml:space="preserve"> — obrigação declaratória para residentes com ativos no exterior acima dos limites regulamentares.</w:t>
      </w:r>
    </w:p>
    <w:p>
      <w:pPr>
        <w:pStyle w:val="ListBullet"/>
      </w:pPr>
      <w:r>
        <w:rPr>
          <w:rFonts w:ascii="Inter" w:hAnsi="Inter"/>
          <w:b/>
          <w:color w:val="010860"/>
        </w:rPr>
        <w:t>EC 132/2023</w:t>
      </w:r>
      <w:r>
        <w:rPr>
          <w:rFonts w:ascii="Inter" w:hAnsi="Inter"/>
        </w:rPr>
        <w:t xml:space="preserve"> — Reforma Tributária do consumo: transição 2026–2033 com convivência entre CBS/IBS e o sistema atual.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A227"/>
          <w:left w:val="single" w:sz="6" w:color="C9A227"/>
          <w:bottom w:val="single" w:sz="6" w:color="C9A227"/>
          <w:right w:val="single" w:sz="6" w:color="C9A227"/>
          <w:insideH w:val="single" w:sz="6" w:color="C9A227"/>
          <w:insideV w:val="single" w:sz="6" w:color="C9A227"/>
        </w:tblBorders>
      </w:tblPr>
      <w:tblGrid>
        <w:gridCol w:w="9184"/>
      </w:tblGrid>
      <w:tr>
        <w:tc>
          <w:tcPr>
            <w:tcW w:type="dxa" w:w="9184"/>
            <w:shd w:val="clear" w:fill="FDF9EE"/>
          </w:tcPr>
          <w:p>
            <w:r>
              <w:rPr>
                <w:rFonts w:ascii="Montserrat" w:hAnsi="Montserrat"/>
                <w:b/>
                <w:color w:val="8A6D0D"/>
                <w:sz w:val="21"/>
              </w:rPr>
              <w:t>▸ LEMBRETE FINAL</w:t>
            </w:r>
          </w:p>
          <w:p>
            <w:r>
              <w:rPr>
                <w:rFonts w:ascii="Inter" w:hAnsi="Inter"/>
                <w:sz w:val="20"/>
              </w:rPr>
              <w:t xml:space="preserve">Este FAQ é </w:t>
            </w:r>
            <w:r>
              <w:rPr>
                <w:rFonts w:ascii="Inter" w:hAnsi="Inter"/>
                <w:b/>
                <w:color w:val="010860"/>
                <w:sz w:val="20"/>
              </w:rPr>
              <w:t>material interno de capacitação</w:t>
            </w:r>
            <w:r>
              <w:rPr>
                <w:rFonts w:ascii="Inter" w:hAnsi="Inter"/>
                <w:sz w:val="20"/>
              </w:rPr>
              <w:t xml:space="preserve">. Nenhum trecho deve ser encaminhado a cliente como está. As versões com foco no cliente saem </w:t>
            </w:r>
            <w:r>
              <w:rPr>
                <w:rFonts w:ascii="Inter" w:hAnsi="Inter"/>
                <w:b/>
                <w:color w:val="010860"/>
                <w:sz w:val="20"/>
              </w:rPr>
              <w:t>após validação técnica/jurídica</w:t>
            </w:r>
            <w:r>
              <w:rPr>
                <w:rFonts w:ascii="Inter" w:hAnsi="Inter"/>
                <w:sz w:val="20"/>
              </w:rPr>
              <w:t xml:space="preserve"> dos parâmetros marcados neste guia.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A6072"/>
        <w:sz w:val="17"/>
      </w:rPr>
      <w:t xml:space="preserve">@meulucroativo  ·  FAQ Rota Fiscal — uso interno  ·  pág. </w:t>
    </w:r>
    <w:fldSimple w:instr="PAGE">
      <w:r>
        <w:rPr>
          <w:sz w:val="17"/>
          <w:color w:val="5A607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ter" w:hAnsi="Inter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