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Política de Uso de IA (Grandes Empresas)</w:t>
      </w:r>
    </w:p>
    <w:p>
      <w:pPr>
        <w:jc w:val="center"/>
      </w:pPr>
      <w:r>
        <w:rPr>
          <w:i/>
          <w:sz w:val="22"/>
        </w:rPr>
        <w:t>Atlantyx - Versão 1.2 | Data: 01/10/2025</w:t>
      </w:r>
    </w:p>
    <w:p/>
    <w:p>
      <w:r>
        <w:t>Este documento define princípios, controles mínimos e responsabilidades para uso de IA (incluindo IA generativa) em ambientes corporativos de grande porte, com foco em segurança, conformidade, qualidade e custo.</w:t>
      </w:r>
    </w:p>
    <w:p>
      <w:pPr>
        <w:pStyle w:val="Heading1"/>
      </w:pPr>
      <w:r>
        <w:t>1. Escopo e definições</w:t>
      </w:r>
    </w:p>
    <w:p>
      <w:r>
        <w:t>Escopo: todos os colaboradores, terceiros e sistemas que utilizem IA para apoiar decisões, atendimento, automação ou geração de conteúdo.</w:t>
      </w:r>
    </w:p>
    <w:p>
      <w:pPr>
        <w:pStyle w:val="Heading2"/>
      </w:pPr>
      <w:r>
        <w:t>Definições rápidas</w:t>
      </w:r>
    </w:p>
    <w:p>
      <w:pPr>
        <w:pStyle w:val="ListBullet"/>
      </w:pPr>
      <w:r>
        <w:t>IA generativa: modelos que produzem texto, código, imagem ou áudio a partir de prompts.</w:t>
      </w:r>
    </w:p>
    <w:p>
      <w:pPr>
        <w:pStyle w:val="ListBullet"/>
      </w:pPr>
      <w:r>
        <w:t>RAG (Retrieval-Augmented Generation): técnica que combina busca em base corporativa com geração de resposta.</w:t>
      </w:r>
    </w:p>
    <w:p>
      <w:pPr>
        <w:pStyle w:val="ListBullet"/>
      </w:pPr>
      <w:r>
        <w:t>Dado sensível: informação pessoal sensível (LGPD) ou segredo industrial (ex.: estratégia, precificação, M&amp;A).</w:t>
      </w:r>
    </w:p>
    <w:p/>
    <w:p>
      <w:pPr>
        <w:pStyle w:val="Heading1"/>
      </w:pPr>
      <w:r>
        <w:t>2. Princípios obrigatórios</w:t>
      </w:r>
    </w:p>
    <w:p>
      <w:pPr>
        <w:pStyle w:val="ListBullet"/>
      </w:pPr>
      <w:r>
        <w:t>Rastreabilidade: respostas automatizadas devem indicar fontes (citações) quando baseadas em documentos internos.</w:t>
      </w:r>
    </w:p>
    <w:p>
      <w:pPr>
        <w:pStyle w:val="ListBullet"/>
      </w:pPr>
      <w:r>
        <w:t>Menor privilégio: acesso a documentos deve ser controlado por perfis (RBAC/ABAC).</w:t>
      </w:r>
    </w:p>
    <w:p>
      <w:pPr>
        <w:pStyle w:val="ListBullet"/>
      </w:pPr>
      <w:r>
        <w:t>Segurança por padrão: segredos em cofre (Key Vault), criptografia em repouso e em trânsito.</w:t>
      </w:r>
    </w:p>
    <w:p>
      <w:pPr>
        <w:pStyle w:val="ListBullet"/>
      </w:pPr>
      <w:r>
        <w:t>Transparência operacional: logs de métricas (latência, tokens, erros) sem armazenar conteúdo sensível.</w:t>
      </w:r>
    </w:p>
    <w:p>
      <w:pPr>
        <w:pStyle w:val="ListBullet"/>
      </w:pPr>
      <w:r>
        <w:t>Fail-safe: se não houver evidência suficiente, a IA deve declarar incerteza e sugerir caminho humano.</w:t>
      </w:r>
    </w:p>
    <w:p/>
    <w:p>
      <w:pPr>
        <w:pStyle w:val="Heading1"/>
      </w:pPr>
      <w:r>
        <w:t>3. Dados, privacidade e logs</w:t>
      </w:r>
    </w:p>
    <w:p>
      <w:pPr>
        <w:pStyle w:val="ListBullet"/>
      </w:pPr>
      <w:r>
        <w:t>É proibido enviar PII ou segredos industriais para serviços externos sem contrato e base legal apropriados.</w:t>
      </w:r>
    </w:p>
    <w:p>
      <w:pPr>
        <w:pStyle w:val="ListBullet"/>
      </w:pPr>
      <w:r>
        <w:t>Logs devem armazenar apenas metadados (IDs, tempos, contagens). Conteúdo de prompt/resposta só é permitido em ambiente controlado de testes.</w:t>
      </w:r>
    </w:p>
    <w:p>
      <w:pPr>
        <w:pStyle w:val="ListBullet"/>
      </w:pPr>
      <w:r>
        <w:t>Retenção padrão de logs de aplicação: 30 dias. Retenção pode ser estendida por exigência de auditoria formal, mediante aprovação de Segurança.</w:t>
      </w:r>
    </w:p>
    <w:p/>
    <w:p>
      <w:pPr>
        <w:pStyle w:val="Heading1"/>
      </w:pPr>
      <w:r>
        <w:t>4. Governança e responsabilidades (RACI mínimo)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Atividade</w:t>
            </w:r>
          </w:p>
        </w:tc>
        <w:tc>
          <w:tcPr>
            <w:tcW w:type="dxa" w:w="1728"/>
          </w:tcPr>
          <w:p>
            <w:r>
              <w:t>Responsável</w:t>
            </w:r>
          </w:p>
        </w:tc>
        <w:tc>
          <w:tcPr>
            <w:tcW w:type="dxa" w:w="1728"/>
          </w:tcPr>
          <w:p>
            <w:r>
              <w:t>Aprovador</w:t>
            </w:r>
          </w:p>
        </w:tc>
        <w:tc>
          <w:tcPr>
            <w:tcW w:type="dxa" w:w="1728"/>
          </w:tcPr>
          <w:p>
            <w:r>
              <w:t>Consultado</w:t>
            </w:r>
          </w:p>
        </w:tc>
        <w:tc>
          <w:tcPr>
            <w:tcW w:type="dxa" w:w="1728"/>
          </w:tcPr>
          <w:p>
            <w:r>
              <w:t>Informado</w:t>
            </w:r>
          </w:p>
        </w:tc>
      </w:tr>
      <w:tr>
        <w:tc>
          <w:tcPr>
            <w:tcW w:type="dxa" w:w="1728"/>
          </w:tcPr>
          <w:p>
            <w:r>
              <w:t>Definição de casos de uso e riscos</w:t>
            </w:r>
          </w:p>
        </w:tc>
        <w:tc>
          <w:tcPr>
            <w:tcW w:type="dxa" w:w="1728"/>
          </w:tcPr>
          <w:p>
            <w:r>
              <w:t>Dono do Produto</w:t>
            </w:r>
          </w:p>
        </w:tc>
        <w:tc>
          <w:tcPr>
            <w:tcW w:type="dxa" w:w="1728"/>
          </w:tcPr>
          <w:p>
            <w:r>
              <w:t>Diretoria</w:t>
            </w:r>
          </w:p>
        </w:tc>
        <w:tc>
          <w:tcPr>
            <w:tcW w:type="dxa" w:w="1728"/>
          </w:tcPr>
          <w:p>
            <w:r>
              <w:t>Segurança, Jurídico</w:t>
            </w:r>
          </w:p>
        </w:tc>
        <w:tc>
          <w:tcPr>
            <w:tcW w:type="dxa" w:w="1728"/>
          </w:tcPr>
          <w:p>
            <w:r>
              <w:t>Áreas impactadas</w:t>
            </w:r>
          </w:p>
        </w:tc>
      </w:tr>
      <w:tr>
        <w:tc>
          <w:tcPr>
            <w:tcW w:type="dxa" w:w="1728"/>
          </w:tcPr>
          <w:p>
            <w:r>
              <w:t>Configuração do RAG e índice</w:t>
            </w:r>
          </w:p>
        </w:tc>
        <w:tc>
          <w:tcPr>
            <w:tcW w:type="dxa" w:w="1728"/>
          </w:tcPr>
          <w:p>
            <w:r>
              <w:t>IA/Eng. Dados</w:t>
            </w:r>
          </w:p>
        </w:tc>
        <w:tc>
          <w:tcPr>
            <w:tcW w:type="dxa" w:w="1728"/>
          </w:tcPr>
          <w:p>
            <w:r>
              <w:t>Arquiteto</w:t>
            </w:r>
          </w:p>
        </w:tc>
        <w:tc>
          <w:tcPr>
            <w:tcW w:type="dxa" w:w="1728"/>
          </w:tcPr>
          <w:p>
            <w:r>
              <w:t>Segurança</w:t>
            </w:r>
          </w:p>
        </w:tc>
        <w:tc>
          <w:tcPr>
            <w:tcW w:type="dxa" w:w="1728"/>
          </w:tcPr>
          <w:p>
            <w:r>
              <w:t>Dono do Produto</w:t>
            </w:r>
          </w:p>
        </w:tc>
      </w:tr>
      <w:tr>
        <w:tc>
          <w:tcPr>
            <w:tcW w:type="dxa" w:w="1728"/>
          </w:tcPr>
          <w:p>
            <w:r>
              <w:t>Avaliação de qualidade (RAG)</w:t>
            </w:r>
          </w:p>
        </w:tc>
        <w:tc>
          <w:tcPr>
            <w:tcW w:type="dxa" w:w="1728"/>
          </w:tcPr>
          <w:p>
            <w:r>
              <w:t>IA</w:t>
            </w:r>
          </w:p>
        </w:tc>
        <w:tc>
          <w:tcPr>
            <w:tcW w:type="dxa" w:w="1728"/>
          </w:tcPr>
          <w:p>
            <w:r>
              <w:t>Dono do Produto</w:t>
            </w:r>
          </w:p>
        </w:tc>
        <w:tc>
          <w:tcPr>
            <w:tcW w:type="dxa" w:w="1728"/>
          </w:tcPr>
          <w:p>
            <w:r>
              <w:t>Usuários-chave</w:t>
            </w:r>
          </w:p>
        </w:tc>
        <w:tc>
          <w:tcPr>
            <w:tcW w:type="dxa" w:w="1728"/>
          </w:tcPr>
          <w:p>
            <w:r>
              <w:t>Diretoria</w:t>
            </w:r>
          </w:p>
        </w:tc>
      </w:tr>
      <w:tr>
        <w:tc>
          <w:tcPr>
            <w:tcW w:type="dxa" w:w="1728"/>
          </w:tcPr>
          <w:p>
            <w:r>
              <w:t>Liberação para produção</w:t>
            </w:r>
          </w:p>
        </w:tc>
        <w:tc>
          <w:tcPr>
            <w:tcW w:type="dxa" w:w="1728"/>
          </w:tcPr>
          <w:p>
            <w:r>
              <w:t>SRE/Plataforma</w:t>
            </w:r>
          </w:p>
        </w:tc>
        <w:tc>
          <w:tcPr>
            <w:tcW w:type="dxa" w:w="1728"/>
          </w:tcPr>
          <w:p>
            <w:r>
              <w:t>Segurança</w:t>
            </w:r>
          </w:p>
        </w:tc>
        <w:tc>
          <w:tcPr>
            <w:tcW w:type="dxa" w:w="1728"/>
          </w:tcPr>
          <w:p>
            <w:r>
              <w:t>IA, Produto</w:t>
            </w:r>
          </w:p>
        </w:tc>
        <w:tc>
          <w:tcPr>
            <w:tcW w:type="dxa" w:w="1728"/>
          </w:tcPr>
          <w:p>
            <w:r>
              <w:t>Todos</w:t>
            </w:r>
          </w:p>
        </w:tc>
      </w:tr>
    </w:tbl>
    <w:p/>
    <w:p>
      <w:pPr>
        <w:pStyle w:val="Heading1"/>
      </w:pPr>
      <w:r>
        <w:t>5. Controles mínimos de qualidade</w:t>
      </w:r>
    </w:p>
    <w:p>
      <w:pPr>
        <w:pStyle w:val="ListBullet"/>
      </w:pPr>
      <w:r>
        <w:t>Métricas mínimas: taxa de respostas com citação, taxa de 'não sei', precisão em conjunto de testes, latência p95, custo por 1.000 perguntas.</w:t>
      </w:r>
    </w:p>
    <w:p>
      <w:pPr>
        <w:pStyle w:val="ListBullet"/>
      </w:pPr>
      <w:r>
        <w:t>Revisão quinzenal de perguntas críticas e documentos conflitantes/obsoletos.</w:t>
      </w:r>
    </w:p>
    <w:p>
      <w:pPr>
        <w:pStyle w:val="ListBullet"/>
      </w:pPr>
      <w:r>
        <w:t>Teste canário antes de troca de modelo, embeddings ou parâmetros do índice.</w:t>
      </w:r>
    </w:p>
    <w:p/>
    <w:p>
      <w:pPr>
        <w:pStyle w:val="Heading1"/>
      </w:pPr>
      <w:r>
        <w:t>6. Exceções</w:t>
      </w:r>
    </w:p>
    <w:p>
      <w:r>
        <w:t>Exceções a esta política devem ser registradas, justificadas e aprovadas formalmente por Segurança e Diretoria.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