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Playbook de Implantação de IA em Grandes Empresas</w:t>
      </w:r>
    </w:p>
    <w:p>
      <w:pPr>
        <w:jc w:val="center"/>
      </w:pPr>
      <w:r>
        <w:rPr>
          <w:i/>
          <w:sz w:val="22"/>
        </w:rPr>
        <w:t>Atlantyx - Versão 0.9 | Data: 20/11/2025</w:t>
      </w:r>
    </w:p>
    <w:p/>
    <w:p>
      <w:r>
        <w:t>Este playbook descreve um caminho recomendado para implantação de IA corporativa (incluindo assistentes RAG), do piloto à escala, com foco em MLOps/LLMOps, segurança, adoção e mensuração de valor.</w:t>
      </w:r>
    </w:p>
    <w:p>
      <w:pPr>
        <w:pStyle w:val="Heading1"/>
      </w:pPr>
      <w:r>
        <w:t>1. Roadmap sugerido (12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Semanas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F0 - Descoberta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Priorizar casos de uso e riscos</w:t>
            </w:r>
          </w:p>
        </w:tc>
        <w:tc>
          <w:tcPr>
            <w:tcW w:type="dxa" w:w="2160"/>
          </w:tcPr>
          <w:p>
            <w:r>
              <w:t>Backlog, matriz risco x valor, dados-alvo</w:t>
            </w:r>
          </w:p>
        </w:tc>
      </w:tr>
      <w:tr>
        <w:tc>
          <w:tcPr>
            <w:tcW w:type="dxa" w:w="2160"/>
          </w:tcPr>
          <w:p>
            <w:r>
              <w:t>F1 - Piloto controlado</w:t>
            </w:r>
          </w:p>
        </w:tc>
        <w:tc>
          <w:tcPr>
            <w:tcW w:type="dxa" w:w="2160"/>
          </w:tcPr>
          <w:p>
            <w:r>
              <w:t>3-6</w:t>
            </w:r>
          </w:p>
        </w:tc>
        <w:tc>
          <w:tcPr>
            <w:tcW w:type="dxa" w:w="2160"/>
          </w:tcPr>
          <w:p>
            <w:r>
              <w:t>RAG com base restrita e usuários-chave</w:t>
            </w:r>
          </w:p>
        </w:tc>
        <w:tc>
          <w:tcPr>
            <w:tcW w:type="dxa" w:w="2160"/>
          </w:tcPr>
          <w:p>
            <w:r>
              <w:t>MVP, avaliação, guardrails</w:t>
            </w:r>
          </w:p>
        </w:tc>
      </w:tr>
      <w:tr>
        <w:tc>
          <w:tcPr>
            <w:tcW w:type="dxa" w:w="2160"/>
          </w:tcPr>
          <w:p>
            <w:r>
              <w:t>F2 - Produção inicial</w:t>
            </w:r>
          </w:p>
        </w:tc>
        <w:tc>
          <w:tcPr>
            <w:tcW w:type="dxa" w:w="2160"/>
          </w:tcPr>
          <w:p>
            <w:r>
              <w:t>7-9</w:t>
            </w:r>
          </w:p>
        </w:tc>
        <w:tc>
          <w:tcPr>
            <w:tcW w:type="dxa" w:w="2160"/>
          </w:tcPr>
          <w:p>
            <w:r>
              <w:t>SLO, monitoração, RBAC completo</w:t>
            </w:r>
          </w:p>
        </w:tc>
        <w:tc>
          <w:tcPr>
            <w:tcW w:type="dxa" w:w="2160"/>
          </w:tcPr>
          <w:p>
            <w:r>
              <w:t>API prod, dashboards de operação</w:t>
            </w:r>
          </w:p>
        </w:tc>
      </w:tr>
      <w:tr>
        <w:tc>
          <w:tcPr>
            <w:tcW w:type="dxa" w:w="2160"/>
          </w:tcPr>
          <w:p>
            <w:r>
              <w:t>F3 - Escala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Multiárea, automações e melhoria contínua</w:t>
            </w:r>
          </w:p>
        </w:tc>
        <w:tc>
          <w:tcPr>
            <w:tcW w:type="dxa" w:w="2160"/>
          </w:tcPr>
          <w:p>
            <w:r>
              <w:t>Processo de change, dataset vivo</w:t>
            </w:r>
          </w:p>
        </w:tc>
      </w:tr>
    </w:tbl>
    <w:p/>
    <w:p>
      <w:pPr>
        <w:pStyle w:val="Heading1"/>
      </w:pPr>
      <w:r>
        <w:t>2. Arquitetura de referência (resumo)</w:t>
      </w:r>
    </w:p>
    <w:p>
      <w:pPr>
        <w:pStyle w:val="ListBullet"/>
      </w:pPr>
      <w:r>
        <w:t>Ingestão: Blob/SharePoint -&gt; extrator -&gt; chunking -&gt; embeddings -&gt; índice vetorial (busca híbrida).</w:t>
      </w:r>
    </w:p>
    <w:p>
      <w:pPr>
        <w:pStyle w:val="ListBullet"/>
      </w:pPr>
      <w:r>
        <w:t>Orquestração: filas para ingestão, jobs agendados e reindex incremental.</w:t>
      </w:r>
    </w:p>
    <w:p>
      <w:pPr>
        <w:pStyle w:val="ListBullet"/>
      </w:pPr>
      <w:r>
        <w:t>Serving: API com auth, retrieval com filtro por permissão, re-ranking opcional, geração com citações.</w:t>
      </w:r>
    </w:p>
    <w:p>
      <w:pPr>
        <w:pStyle w:val="ListBullet"/>
      </w:pPr>
      <w:r>
        <w:t>Observabilidade: logs estruturados + métricas (latência p50/p95, tokens, erros, custo).</w:t>
      </w:r>
    </w:p>
    <w:p/>
    <w:p>
      <w:pPr>
        <w:pStyle w:val="Heading1"/>
      </w:pPr>
      <w:r>
        <w:t>3. Parâmetros recomendados (ponto de partida)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800-1.200 caracteres</w:t>
            </w:r>
          </w:p>
        </w:tc>
        <w:tc>
          <w:tcPr>
            <w:tcW w:type="dxa" w:w="2880"/>
          </w:tcPr>
          <w:p>
            <w:r>
              <w:t>Ajustar por tipo de documento; manter semântica por seção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Evita perda de contexto em limites de chunk</w:t>
            </w:r>
          </w:p>
        </w:tc>
      </w:tr>
      <w:tr>
        <w:tc>
          <w:tcPr>
            <w:tcW w:type="dxa" w:w="2880"/>
          </w:tcPr>
          <w:p>
            <w:r>
              <w:t>Top-k (retrieve)</w:t>
            </w:r>
          </w:p>
        </w:tc>
        <w:tc>
          <w:tcPr>
            <w:tcW w:type="dxa" w:w="2880"/>
          </w:tcPr>
          <w:p>
            <w:r>
              <w:t>6-10</w:t>
            </w:r>
          </w:p>
        </w:tc>
        <w:tc>
          <w:tcPr>
            <w:tcW w:type="dxa" w:w="2880"/>
          </w:tcPr>
          <w:p>
            <w:r>
              <w:t>Dinâmico por confiança; reduzir em custo alto</w:t>
            </w:r>
          </w:p>
        </w:tc>
      </w:tr>
      <w:tr>
        <w:tc>
          <w:tcPr>
            <w:tcW w:type="dxa" w:w="2880"/>
          </w:tcPr>
          <w:p>
            <w:r>
              <w:t>Busca</w:t>
            </w:r>
          </w:p>
        </w:tc>
        <w:tc>
          <w:tcPr>
            <w:tcW w:type="dxa" w:w="2880"/>
          </w:tcPr>
          <w:p>
            <w:r>
              <w:t>Híbrida (BM25 + vetorial)</w:t>
            </w:r>
          </w:p>
        </w:tc>
        <w:tc>
          <w:tcPr>
            <w:tcW w:type="dxa" w:w="2880"/>
          </w:tcPr>
          <w:p>
            <w:r>
              <w:t>Melhor recall em corpora heterogêneos</w:t>
            </w:r>
          </w:p>
        </w:tc>
      </w:tr>
      <w:tr>
        <w:tc>
          <w:tcPr>
            <w:tcW w:type="dxa" w:w="2880"/>
          </w:tcPr>
          <w:p>
            <w:r>
              <w:t>Retenção de logs</w:t>
            </w:r>
          </w:p>
        </w:tc>
        <w:tc>
          <w:tcPr>
            <w:tcW w:type="dxa" w:w="2880"/>
          </w:tcPr>
          <w:p>
            <w:r>
              <w:t>90 dias</w:t>
            </w:r>
          </w:p>
        </w:tc>
        <w:tc>
          <w:tcPr>
            <w:tcW w:type="dxa" w:w="2880"/>
          </w:tcPr>
          <w:p>
            <w:r>
              <w:t>Para auditoria operacional e investigação de incidentes</w:t>
            </w:r>
          </w:p>
        </w:tc>
      </w:tr>
    </w:tbl>
    <w:p/>
    <w:p>
      <w:pPr>
        <w:pStyle w:val="Heading1"/>
      </w:pPr>
      <w:r>
        <w:t>4. Guardrails e segurança</w:t>
      </w:r>
    </w:p>
    <w:p>
      <w:pPr>
        <w:pStyle w:val="ListBullet"/>
      </w:pPr>
      <w:r>
        <w:t>Prompt injection: separar instruções do sistema, validar contexto recuperado e aplicar allow-list de fontes.</w:t>
      </w:r>
    </w:p>
    <w:p>
      <w:pPr>
        <w:pStyle w:val="ListBullet"/>
      </w:pPr>
      <w:r>
        <w:t>Exfiltração: bloquear pedidos por credenciais/segredos e limitar exportação de dados.</w:t>
      </w:r>
    </w:p>
    <w:p>
      <w:pPr>
        <w:pStyle w:val="ListBullet"/>
      </w:pPr>
      <w:r>
        <w:t>PII: redaction e política de não persistir conteúdo em logs; habilitar DLP quando disponível.</w:t>
      </w:r>
    </w:p>
    <w:p/>
    <w:p>
      <w:pPr>
        <w:pStyle w:val="Heading1"/>
      </w:pPr>
      <w:r>
        <w:t>5. Operação (SLOs e runbooks)</w:t>
      </w:r>
    </w:p>
    <w:p>
      <w:pPr>
        <w:pStyle w:val="ListBullet"/>
      </w:pPr>
      <w:r>
        <w:t>SLO inicial: 99% sucesso, p95 &lt; 4s para /ask, custo alvo por 1.000 perguntas.</w:t>
      </w:r>
    </w:p>
    <w:p>
      <w:pPr>
        <w:pStyle w:val="ListBullet"/>
      </w:pPr>
      <w:r>
        <w:t>Runbooks: queda de LLM, queda do índice, degradação de qualidade, aumento de custo.</w:t>
      </w:r>
    </w:p>
    <w:p>
      <w:pPr>
        <w:pStyle w:val="ListBullet"/>
      </w:pPr>
      <w:r>
        <w:t>Canary + rollback: troca de modelo/embedding com 5% tráfego por 48h e critério de rollback.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