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GoogleSans-bold.ttf" ContentType="application/x-font-ttf"/>
  <Override PartName="/word/fonts/GoogleSans-boldItalic.ttf" ContentType="application/x-font-ttf"/>
  <Override PartName="/word/fonts/GoogleSans-italic.ttf" ContentType="application/x-font-ttf"/>
  <Override PartName="/word/fonts/GoogleSans-regular.ttf" ContentType="application/x-font-ttf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>
      <w:pPr>
        <w:pStyle w:val="Heading1"/>
        <w:spacing w:before="0"/>
        <w:jc w:val="center"/>
      </w:pPr>
      <w:r>
        <w:t>Benevente Wealth System: um artefato de decisão e governança de carteira para escritórios de investimento do Espírito Santo</w:t>
      </w:r>
    </w:p>
    <w:p>
      <w:pPr/>
      <w:r>
        <w:rPr>
          <w:b/>
        </w:rPr>
        <w:t>Produção técnica. Fucape Business School, BTech 2026.</w:t>
      </w:r>
    </w:p>
    <w:p>
      <w:pPr>
        <w:pStyle w:val="Heading1"/>
      </w:pPr>
      <w:r>
        <w:t>Resumo</w:t>
      </w:r>
    </w:p>
    <w:p>
      <w:pPr/>
      <w:r>
        <w:t>Escritórios de investimento capixabas, entre multi-family offices, consultorias de valores mobiliários e assessorias, recomendam carteiras que precisam ser justificadas meses depois de montadas, diante do cliente, do compliance ou do regulador. Três perguntas voltam sempre: quais dados existiam na data da decisão, qual regra foi aplicada sobre eles, e quem aprovou. Planilha não responde nenhuma. Plataforma de terceiro responde a segunda de forma opaca. Este trabalho descreve o Benevente Wealth System, um artefato de software que produz a recomendação e a trilha de auditoria no mesmo ato. Cada decisão anual sai acompanhada da política vigente, dos fundamentos da CVM com data de recebimento, da tela de elegibilidade com o motivo de cada reprovação, dos pesos, das ordens propostas com lote e participação no volume, do custo estimado, e do SHA-256 de cada arquivo que gerou cada número. O artefato foi avaliado em uma janela de onze decisões anuais, de 2015 a 2025, sobre um painel da B3 construído a partir do arquivo histórico de cotações, que retém os 166 emissores deslistados no período. A carteira publicada rendeu 17,86% ao ano após custos, ou 16,03% após imposto de renda, contra 11,77% do Ibovespa, 9,61% do CDI e 7,83% de uma otimização média-variância independente sobre o mesmo universo elegível. Venceu o mercado em sete dos onze anos e a otimização neutra em dez. Reportamos também o que não funcionou: previsão anual de regime, realocação mensal e semanal da proporção entre ações e caixa, reseleção mais frequente da própria cesta, e o uso de um modelo de linguagem como fonte de retorno. Nenhuma das quatro hipóteses se sustentou, e os resultados negativos são publicados junto com o positivo. A contribuição tecnológica não é a rentabilidade. É o conjunto de mecanismos que torna essa rentabilidade auditável, incluindo a medição explícita de quanto do resultado viria de escolher a regra depois de conhecer o desfecho: 0,65 ponto percentual ao ano.</w:t>
      </w:r>
    </w:p>
    <w:p>
      <w:pPr/>
      <w:r>
        <w:rPr>
          <w:b/>
        </w:rPr>
        <w:t>Palavras-chave:</w:t>
      </w:r>
      <w:r>
        <w:t xml:space="preserve"> governança de investimentos; trilha de auditoria; alocação de carteira; dados datados; viés de sobrevivência; pesquisa reprodutível.</w:t>
      </w:r>
    </w:p>
    <w:p>
      <w:pPr>
        <w:pStyle w:val="Heading1"/>
      </w:pPr>
      <w:r>
        <w:t>1. Situação-problema</w:t>
      </w:r>
    </w:p>
    <w:p>
      <w:pPr/>
      <w:r>
        <w:t>Este trabalho parte de uma hipótese de mercado a ser validada no piloto: escritórios do Espírito Santo que mantêm o relacionamento com famílias e empresas locais podem depender de infraestrutura de decisão produzida fora do estado. O problema proposto não é falta de competência analítica. É a ausência de uma ferramenta que produza, no ato da recomendação, o registro que a recomendação vai exigir depois. A pesquisa ainda não mede o tamanho desse mercado, a disposição a pagar ou a taxa de adoção. Portanto, retenção de capital e geração de negócios no estado são resultados esperados do produto, não resultados já comprovados.</w:t>
      </w:r>
    </w:p>
    <w:p>
      <w:pPr/>
      <w:r>
        <w:t>O problema é concreto e tem data. Quando um cliente pergunta em 2026 por que determinada ação entrou na carteira em janeiro de 2023, o escritório precisa demonstrar três coisas simultaneamente.</w:t>
      </w:r>
    </w:p>
    <w:p>
      <w:pPr>
        <w:spacing w:line="360" w:lineRule="auto"/>
        <w:ind w:left="369" w:hanging="227"/>
      </w:pPr>
      <w:r>
        <w:t xml:space="preserve">1. </w:t>
      </w:r>
      <w:r>
        <w:rPr>
          <w:b/>
        </w:rPr>
        <w:t>Quais dados existiam naquela data.</w:t>
      </w:r>
      <w:r>
        <w:t xml:space="preserve"> Um balanço republicado em 2024 não pode aparecer como se estivesse disponível em janeiro de 2023. Sem controle de data de recebimento, todo backtest e toda justificativa ficam contaminados por informação que ninguém tinha.</w:t>
      </w:r>
    </w:p>
    <w:p>
      <w:pPr>
        <w:spacing w:line="360" w:lineRule="auto"/>
        <w:ind w:left="369" w:hanging="227"/>
      </w:pPr>
      <w:r>
        <w:t xml:space="preserve">2. </w:t>
      </w:r>
      <w:r>
        <w:rPr>
          <w:b/>
        </w:rPr>
        <w:t>Qual regra foi aplicada.</w:t>
      </w:r>
      <w:r>
        <w:t xml:space="preserve"> Não a regra que o escritório usa hoje, mas a que estava vigente naquele janeiro, com os limites que estavam vigentes.</w:t>
      </w:r>
    </w:p>
    <w:p>
      <w:pPr>
        <w:spacing w:line="360" w:lineRule="auto"/>
        <w:ind w:left="369" w:hanging="227"/>
      </w:pPr>
      <w:r>
        <w:t xml:space="preserve">3. </w:t>
      </w:r>
      <w:r>
        <w:rPr>
          <w:b/>
        </w:rPr>
        <w:t>Quem aprovou.</w:t>
      </w:r>
      <w:r>
        <w:t xml:space="preserve"> Uma decisão de alocação sem responsável identificado não é auditável, e a automação sem aprovação humana desloca a responsabilidade para um sistema que não pode respondê-la.</w:t>
      </w:r>
    </w:p>
    <w:p>
      <w:pPr/>
      <w:r>
        <w:t>Planilhas falham nas três: sobrescrevem o estado anterior, misturam regra e dado, e não guardam autoria. Plataformas de terceiros costumam responder à segunda pergunta com uma caixa fechada, entregando ao escritório a carteira e não o critério. Nenhuma das duas alternativas serve a quem responde pela decisão.</w:t>
      </w:r>
    </w:p>
    <w:p>
      <w:pPr/>
      <w:r>
        <w:t>A questão que orienta este trabalho é, portanto, de engenharia e de governança antes de ser de finanças: como construir um artefato que produza recomendação e prova ao mesmo tempo, e cuja própria evidência de desempenho resista a auditoria hostil?</w:t>
      </w:r>
    </w:p>
    <w:p>
      <w:pPr>
        <w:pStyle w:val="Heading1"/>
      </w:pPr>
      <w:r>
        <w:t>2. Fundamentação e posicionamento</w:t>
      </w:r>
    </w:p>
    <w:p>
      <w:pPr/>
      <w:r>
        <w:t>Três problemas metodológicos bem documentados na literatura de finanças quantitativas foram tratados como requisitos de projeto, não como ressalvas de rodapé.</w:t>
      </w:r>
    </w:p>
    <w:p>
      <w:pPr/>
      <w:r>
        <w:rPr>
          <w:b/>
        </w:rPr>
        <w:t>Viés de sobrevivência.</w:t>
      </w:r>
      <w:r>
        <w:t xml:space="preserve"> Painéis montados a partir de provedores públicos de preço ajustado servem as empresas que ainda existem. Reconstruir o universo a partir de um provedor desses apaga silenciosamente toda empresa deslistada, adquirida ou liquidada, justamente as que produziram os piores retornos. O efeito é sistemático e sempre favorável ao backtest.</w:t>
      </w:r>
    </w:p>
    <w:p>
      <w:pPr/>
      <w:r>
        <w:rPr>
          <w:b/>
        </w:rPr>
        <w:t>Informação disponível na data.</w:t>
      </w:r>
      <w:r>
        <w:t xml:space="preserve"> Fundamentos precisam ser lidos como estavam no momento da decisão, com data de recebimento pelo regulador, não com a versão consolidada e eventualmente republicada. Chamar isso de detalhe é subestimar o problema: a diferença aparece com sinal previsível, sempre a favor de quem testa.</w:t>
      </w:r>
    </w:p>
    <w:p>
      <w:pPr/>
      <w:r>
        <w:rPr>
          <w:b/>
        </w:rPr>
        <w:t>Múltiplas tentativas.</w:t>
      </w:r>
      <w:r>
        <w:t xml:space="preserve"> Quando se avaliam dezenas de configurações e se publica a melhor, o índice de Sharpe observado é enviesado para cima pela própria busca. Bailey e López de Prado formalizaram o problema com o Sharpe deflacionado, que corrige a estatística pelo número de tentativas e pelos momentos superiores da distribuição de retornos. Sem essa correção, qualquer busca suficientemente ampla produz um vencedor aparentemente significativo.</w:t>
      </w:r>
    </w:p>
    <w:p>
      <w:pPr/>
      <w:r>
        <w:t>Quatro referências clássicas orientam a construção financeira do artefato. Markowitz (1952) mostrou que uma carteira precisa ser analisada pela interação entre retornos e covariâncias, e não pela atratividade isolada de cada ativo. No Benevente, essa contribuição aparece de duas formas. A primeira é a exigência de uma cesta, em vez de uma aposta única no maior escore. A segunda é o comparador MVO, que pergunta quanto uma alocação baseada apenas em média, covariância e limites teria produzido sobre o mesmo universo. O comparador não serve para validar automaticamente a estratégia; serve para impedir que um ganho atribuído ao filtro fundamental seja apenas efeito de diversificação quantitativa.</w:t>
      </w:r>
    </w:p>
    <w:p>
      <w:pPr/>
      <w:r>
        <w:t>Black e Litterman (1992) tratam da combinação entre equilíbrio de mercado e visões. A arquitetura do Benevente adota a separação conceitual, mas não implementa o modelo Black–Litterman como carteira publicada. Fatos fundamentais e sinais de mercado geram um ranking determinístico. A linguagem natural pode explicar a visão, registrar riscos e formular perguntas, porém não altera a matemática da alocação. Essa fronteira permite testar a camada de linguagem sem conceder a ela poder para mudar restrições ou reconstruir retrospectivamente a tese.</w:t>
      </w:r>
    </w:p>
    <w:p>
      <w:pPr/>
      <w:r>
        <w:t>DeMiguel, Garlappi e Uppal (2009) demonstram como erro de estimação pode eliminar, fora da amostra, a vantagem aparente de métodos sofisticados sobre uma diversificação simples. A resposta do projeto não é presumir que um otimizador sempre melhora o resultado. É publicar uma referência independente, impor um número mínimo de posições, limitar a interpretação das métricas e comparar decisões em sequência temporal. O resultado de 7,83% ao ano do MVO de referência nesta execução não prova que MVO é inferior em geral. Mostra somente que aquela implementação, com aquele universo elegível e aquelas estimativas disponíveis em cada janeiro, produziu esse caminho. Em outra amostra ou especificação, a ordem pode se inverter.</w:t>
      </w:r>
    </w:p>
    <w:p>
      <w:pPr/>
      <w:r>
        <w:t>Novy-Marx e Velikov (2016) mostram que custos de negociação podem consumir anomalias documentadas. Por isso, o retorno usado na manchete já deduz taxas e deslizamento modelado, e a busca penaliza trocas de configuração. O sistema mede giro, participação no volume e realização tributável, em vez de tratar toda mudança de peso como gratuita. Ainda assim, uma estimativa não é uma nota de corretagem. O produto prevê conciliação posterior exatamente porque o custo observado depende do tamanho, do horário, da liquidez e da qualidade de execução de cada instituição.</w:t>
      </w:r>
    </w:p>
    <w:p>
      <w:pPr/>
      <w:r>
        <w:t>Essas escolhas definem o tipo de evidência que o trabalho pode produzir. O backtest é um experimento histórico sobre um protocolo e não uma simulação da experiência individual de todo cliente. Suitability, necessidade de liquidez, tributação específica, ativos já detidos e restrições contratuais podem mudar a carteira implementável. Por isso, o artefato separa três objetos que costumam aparecer misturados: a regra acadêmica usada para medir o sinal; a política institucional que limita o risco; e o texto explicativo que ajuda uma pessoa a revisar a decisão. Uma boa curva não substitui nenhum dos três.</w:t>
      </w:r>
    </w:p>
    <w:p>
      <w:pPr/>
      <w:r>
        <w:t>O posicionamento do artefato decorre desses três pontos. O Benevente não compete em promessa de retorno. Compete em verificabilidade. Qualquer concorrente exibe uma curva ascendente, e a pergunta que raramente é respondida é quanto daquela curva vem de ter escolhido a regra depois de ver o resultado. Este trabalho mede esse valor e o publica.</w:t>
      </w:r>
    </w:p>
    <w:p>
      <w:pPr>
        <w:pStyle w:val="Heading1"/>
      </w:pPr>
      <w:r>
        <w:t>3. O artefato</w:t>
      </w:r>
    </w:p>
    <w:p>
      <w:pPr>
        <w:pStyle w:val="Heading2"/>
      </w:pPr>
      <w:r>
        <w:t>3.1 Visão geral</w:t>
      </w:r>
    </w:p>
    <w:p>
      <w:pPr/>
      <w:r>
        <w:t>O Benevente Wealth System é um sistema de apoio à decisão que executa um protocolo anual. Em janeiro, monta a carteira usando exclusivamente dados disponíveis naquela data. Mantém a carteira pelo ano, já com custos de execução. Revisa no ciclo seguinte. O resultado do ano entra depois, apenas para avaliação, e nunca retroalimenta a decisão que o gerou.</w:t>
      </w:r>
    </w:p>
    <w:p>
      <w:pPr/>
      <w:r>
        <w:t>O sistema é composto por cinco camadas.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rPr>
          <w:cantSplit/>
          <w:tblHeader w:val="true"/>
        </w:trPr>
        <w:tc>
          <w:tcPr>
            <w:tcW w:type="dxa" w:w="3024"/>
            <w:vAlign w:val="center"/>
            <w:shd w:fill="D9E7E5"/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Camada</w:t>
            </w:r>
          </w:p>
        </w:tc>
        <w:tc>
          <w:tcPr>
            <w:tcW w:type="dxa" w:w="3024"/>
            <w:vAlign w:val="center"/>
            <w:shd w:fill="D9E7E5"/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Função</w:t>
            </w:r>
          </w:p>
        </w:tc>
        <w:tc>
          <w:tcPr>
            <w:tcW w:type="dxa" w:w="3024"/>
            <w:vAlign w:val="center"/>
            <w:shd w:fill="D9E7E5"/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Saída auditável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18"/>
              </w:rPr>
              <w:t>Base de dados</w:t>
            </w:r>
          </w:p>
        </w:tc>
        <w:tc>
          <w:tcPr>
            <w:tcW w:type="dxa" w:w="3024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18"/>
              </w:rPr>
              <w:t>Universo, preços e fundamentos com data</w:t>
            </w:r>
          </w:p>
        </w:tc>
        <w:tc>
          <w:tcPr>
            <w:tcW w:type="dxa" w:w="3024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18"/>
              </w:rPr>
              <w:t>Manifesto com SHA-256 por arquivo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18"/>
              </w:rPr>
              <w:t>Elegibilidade</w:t>
            </w:r>
          </w:p>
        </w:tc>
        <w:tc>
          <w:tcPr>
            <w:tcW w:type="dxa" w:w="3024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18"/>
              </w:rPr>
              <w:t>Tela de aprovação por ativo</w:t>
            </w:r>
          </w:p>
        </w:tc>
        <w:tc>
          <w:tcPr>
            <w:tcW w:type="dxa" w:w="3024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18"/>
              </w:rPr>
              <w:t>Motivo de cada reprovação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18"/>
              </w:rPr>
              <w:t>Seleção e alocação</w:t>
            </w:r>
          </w:p>
        </w:tc>
        <w:tc>
          <w:tcPr>
            <w:tcW w:type="dxa" w:w="3024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18"/>
              </w:rPr>
              <w:t>Escore multifatorial e regra quantitativa com limites</w:t>
            </w:r>
          </w:p>
        </w:tc>
        <w:tc>
          <w:tcPr>
            <w:tcW w:type="dxa" w:w="3024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18"/>
              </w:rPr>
              <w:t>Ranking, pesos e restrições ativas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18"/>
              </w:rPr>
              <w:t>Execução</w:t>
            </w:r>
          </w:p>
        </w:tc>
        <w:tc>
          <w:tcPr>
            <w:tcW w:type="dxa" w:w="3024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18"/>
              </w:rPr>
              <w:t>Ordens com lote e participação no volume</w:t>
            </w:r>
          </w:p>
        </w:tc>
        <w:tc>
          <w:tcPr>
            <w:tcW w:type="dxa" w:w="3024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18"/>
              </w:rPr>
              <w:t>Custo estimado por ordem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18"/>
              </w:rPr>
              <w:t>Governança</w:t>
            </w:r>
          </w:p>
        </w:tc>
        <w:tc>
          <w:tcPr>
            <w:tcW w:type="dxa" w:w="3024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18"/>
              </w:rPr>
              <w:t>Aprovação humana e conciliação</w:t>
            </w:r>
          </w:p>
        </w:tc>
        <w:tc>
          <w:tcPr>
            <w:tcW w:type="dxa" w:w="3024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18"/>
              </w:rPr>
              <w:t>Quem aprovou e diferença contra a nota de corretagem</w:t>
            </w:r>
          </w:p>
        </w:tc>
      </w:tr>
    </w:tbl>
    <w:p/>
    <w:p>
      <w:pPr>
        <w:pStyle w:val="Heading2"/>
      </w:pPr>
      <w:r>
        <w:t>3.2 Base de dados: o universo de registro é a bolsa, não o provedor</w:t>
      </w:r>
    </w:p>
    <w:p>
      <w:pPr/>
      <w:r>
        <w:t>O universo de registro é o arquivo histórico de cotações da própria B3, não um feed de terceiro. A consequência é direta e mensurável. O painel construído cobre 514 emissores entre 2010 e 2025, dos quais 166 deixam de negociar antes de dezembro de 2025, 77 deles antes de 2020, e 58 já haviam perdido mais de 60% do próprio topo quando pararam de negociar. Um painel montado a partir de provedor público simplesmente não contém essas empresas. A diferença entre incluí-las e não incluí-las é a diferença entre medir a estratégia e medir a sorte de ter olhado só para os sobreviventes.</w:t>
      </w:r>
    </w:p>
    <w:p>
      <w:pPr/>
      <w:r>
        <w:t>Preços deslistados exigem tratamento de eventos societários sem a ajuda do provedor, que já não serve esses papéis. O sistema detecta desdobramentos, grupamentos e bonificações grandes a partir de razões de preço redondas e persistentes no arquivo da bolsa. O detector foi validado contra o arquivo de eventos de um provedor, no subconjunto de papéis em que esse arquivo existe, e os dois lados da validação são publicados: precisão de 88,1%, com 340 de 386 ajustes aplicados coincidindo com um evento confirmado, e recall de 23,3%, com 103 de 443 eventos do provedor detectados. O recall baixo é uma limitação real e está declarada. O detector é conservador por construção, e prefere não ajustar a ajustar errado. Publicar apenas a precisão seria omitir metade do resultado.</w:t>
      </w:r>
    </w:p>
    <w:p>
      <w:pPr/>
      <w:r>
        <w:t xml:space="preserve">Os fundamentos vêm dos formulários ITR e DFP da CVM, com a data de recebimento usada como porta: um documento só entra na decisão de janeiro do ano </w:t>
      </w:r>
      <w:r>
        <w:rPr>
          <w:i/>
        </w:rPr>
        <w:t>t</w:t>
      </w:r>
      <w:r>
        <w:t xml:space="preserve"> se o regulador o recebeu antes daquela data. A ponte entre o ticker da B3 e o CNPJ da CVM é construída ano a ano, e sua cobertura é publicada em vez de suposta. Em 2012, primeiro ano da série, 266 de 314 ações tiveram ponte aceita e 171 tiveram fundamentos completos, porque a série do ITR começa em 2011 e 2012 é o primeiro ano em que a construção de doze meses tem os dois lados disponíveis.</w:t>
      </w:r>
    </w:p>
    <w:p>
      <w:pPr>
        <w:pStyle w:val="Heading2"/>
      </w:pPr>
      <w:r>
        <w:t>3.3 Elegibilidade, seleção e alocação</w:t>
      </w:r>
    </w:p>
    <w:p>
      <w:pPr/>
      <w:r>
        <w:t>A tela de elegibilidade reprova ativos por liquidez insuficiente, ausência de fundamento na data, alavancagem ou cobertura de juros fora do aceitável. Cada reprovação é registrada com o motivo, o que permite ao escritório responder por que um papel conhecido não entrou, pergunta que aparece com a mesma frequência da inversa.</w:t>
      </w:r>
    </w:p>
    <w:p>
      <w:pPr/>
      <w:r>
        <w:t xml:space="preserve">O foco econômico é </w:t>
      </w:r>
      <w:r>
        <w:rPr>
          <w:b/>
        </w:rPr>
        <w:t>análise fundamentalista multifatorial</w:t>
      </w:r>
      <w:r>
        <w:t>. Qualidade procura empresas capazes de remunerar o capital e sustentar a operação; valor procura um preço coerente com lucros, patrimônio ou geração de caixa; momento de doze meses funciona como confirmação de mercado e reduz a compra mecânica de uma empresa barata que continua deteriorando. Liquidez determina se a tese é executável. Bancos e empresas operacionais recebem métricas diferentes porque dívida e margem operacional não significam a mesma coisa nos dois balanços. O retorno histórico entra como fator complementar, não substitui os demonstrativos.</w:t>
      </w:r>
    </w:p>
    <w:p>
      <w:pPr/>
      <w:r>
        <w:t>Depois da triagem, cada ativo recebe um escore comparável dentro do universo disponível naquele janeiro. A estratégia publicada faz um corte nos melhores emissores, mantém apenas uma classe por emissor e distribui o orçamento de renda variável proporcionalmente ao escore, sujeito ao número de posições e aos limites da configuração. O saldo fica no CDI. A configuração completa — família de fatores, número de posições e orçamento de ações — é escolhida anualmente pelo desempenho ajustado ao risco nos anos já encerrados. A otimização média-variância não define essa carteira. Ela é calculada de modo independente, sobre o mesmo universo elegível, para medir o que uma carteira puramente quantitativa de média e covariância teria produzido.</w:t>
      </w:r>
    </w:p>
    <w:p>
      <w:pPr/>
      <w:r>
        <w:t xml:space="preserve">Essa separação também resolve a ambiguidade entre os nomes. </w:t>
      </w:r>
      <w:r>
        <w:rPr>
          <w:b/>
        </w:rPr>
        <w:t>Benevente Quant AI</w:t>
      </w:r>
      <w:r>
        <w:t xml:space="preserve"> designa a pesquisa acadêmica, inclusive o experimento que combina um modelo de linguagem com um solver convexo. </w:t>
      </w:r>
      <w:r>
        <w:rPr>
          <w:b/>
        </w:rPr>
        <w:t>Benevente Wealth System</w:t>
      </w:r>
      <w:r>
        <w:t xml:space="preserve"> designa o produto B2B de governança que entrega proposta, explicação e registro. A carteira histórica publicada é a regra multifatorial determinística. O modelo de linguagem não seleciona ativo e não escreve peso; seu papel é transformar fatos aprovados em tese, riscos e perguntas para revisão humana.</w:t>
      </w:r>
    </w:p>
    <w:p>
      <w:pPr/>
      <w:r>
        <w:t>Os coeficientes do escore de seleção, os limiares da tela de elegibilidade, as constantes de aversão a risco e a grade de configurações não são publicados. Eles estão registrados de forma verificável, porque o registro congelado carrega o SHA-256 de cada arquivo de entrada e da própria configuração, de modo que a anterioridade é demonstrável sem que a implementação seja replicável por leitura. Essa é uma escolha comercial deliberada e está declarada aqui para que o leitor saiba exatamente o que está sendo e o que não está sendo divulgado.</w:t>
      </w:r>
    </w:p>
    <w:p>
      <w:pPr>
        <w:pStyle w:val="Heading2"/>
      </w:pPr>
      <w:r>
        <w:t>3.4 Por que a decisão é anual</w:t>
      </w:r>
    </w:p>
    <w:p>
      <w:pPr/>
      <w:r>
        <w:t>A cadência anual é uma hipótese coerente com a natureza do sinal e, neste estudo, uma escolha empiricamente testada. Qualidade, retorno sobre capital, alavancagem e geração de caixa são grandezas divulgadas em ciclos contábeis e cuja tese econômica precisa de tempo para aparecer no preço. Uma troca mensal baseada nelas pode vender uma empresa antes que a melhora operacional seja reconhecida e aumenta o número de decisões que precisam ser justificadas. A revisão em janeiro também cria uma fronteira operacional simples: tudo o que foi publicado até a data pode entrar; tudo o que veio depois pertence ao próximo ciclo.</w:t>
      </w:r>
    </w:p>
    <w:p>
      <w:pPr/>
      <w:r>
        <w:t xml:space="preserve">Anual não significa que o sistema ignora o risco durante doze meses. Preços, concentração, liquidez e eventos materiais podem ser monitorados continuamente, e uma política institucional pode prever um gatilho extraordinário. Significa apenas que a </w:t>
      </w:r>
      <w:r>
        <w:rPr>
          <w:b/>
        </w:rPr>
        <w:t>reseleção sistemática</w:t>
      </w:r>
      <w:r>
        <w:t xml:space="preserve"> da cesta acontece uma vez por ano. No teste de robustez, mantendo regra e dados constantes, a reseleção anual superou as versões trimestral e mensal antes mesmo dos custos. Com apenas onze anos pareados, isso não prova que a frequência anual seja universalmente ótima; mostra que não houve evidência para substituir a regra mais simples nesta amostra.</w:t>
      </w:r>
    </w:p>
    <w:p>
      <w:pPr/>
      <w:r>
        <w:t>Notícias não entram no modelo atual. Esse limite é intencional: um estudo com notícias exige arquivo histórico licenciado, horário de publicação, deduplicação e uma data de corte verificável para o modelo de linguagem. Misturar notícias retrospectivamente ao protocolo anual criaria uma nova oportunidade de usar informação futura. O estudo futuro adequado é um braço separado, pré-registrado, com revisão trimestral ou por evento e notícias carimbadas no tempo, comparado à regra anual sem alterar esta última.</w:t>
      </w:r>
    </w:p>
    <w:p>
      <w:pPr>
        <w:pStyle w:val="Heading2"/>
      </w:pPr>
      <w:r>
        <w:t>3.5 Custos, imposto e execução</w:t>
      </w:r>
    </w:p>
    <w:p>
      <w:pPr/>
      <w:r>
        <w:t>Retorno bruto não é resultado. O sistema modela três parcelas.</w:t>
      </w:r>
    </w:p>
    <w:p>
      <w:pPr>
        <w:spacing w:line="360" w:lineRule="auto"/>
        <w:ind w:left="369" w:hanging="227"/>
      </w:pPr>
      <w:r>
        <w:t xml:space="preserve">• </w:t>
      </w:r>
      <w:r>
        <w:rPr>
          <w:b/>
        </w:rPr>
        <w:t>Taxas da B3</w:t>
      </w:r>
      <w:r>
        <w:t xml:space="preserve"> e corretagem por ordem.</w:t>
      </w:r>
    </w:p>
    <w:p>
      <w:pPr>
        <w:spacing w:line="360" w:lineRule="auto"/>
        <w:ind w:left="369" w:hanging="227"/>
      </w:pPr>
      <w:r>
        <w:t xml:space="preserve">• </w:t>
      </w:r>
      <w:r>
        <w:rPr>
          <w:b/>
        </w:rPr>
        <w:t>Deslizamento por participação no volume</w:t>
      </w:r>
      <w:r>
        <w:t>, proporcional ao tamanho da ordem relativo ao volume médio diário do papel. Uma ordem grande em papel ilíquido custa mais, como custa na prática.</w:t>
      </w:r>
    </w:p>
    <w:p>
      <w:pPr>
        <w:spacing w:line="360" w:lineRule="auto"/>
        <w:ind w:left="369" w:hanging="227"/>
      </w:pPr>
      <w:r>
        <w:t xml:space="preserve">• </w:t>
      </w:r>
      <w:r>
        <w:rPr>
          <w:b/>
        </w:rPr>
        <w:t>Imposto de renda brasileiro</w:t>
      </w:r>
      <w:r>
        <w:t>, com 15% sobre ganho realizado em renda variável e 17,5% sobre renda fixa na faixa de 361 a 720 dias, cobrado no ano em que a revisão seguinte efetivamente realiza o ganho, e com liquidação integral assumida no último ano avaliado. Essa é a hipótese terminal conservadora, em vez de um diferimento indefinido que embelezaria a série.</w:t>
      </w:r>
    </w:p>
    <w:p>
      <w:pPr/>
      <w:r>
        <w:t>O sistema recusa, por regra, ordens que ultrapassem 5% do volume médio diário do papel. A ordem falha em vez de ser enviada.</w:t>
      </w:r>
    </w:p>
    <w:p>
      <w:pPr>
        <w:pStyle w:val="Heading2"/>
      </w:pPr>
      <w:r>
        <w:t>3.6 Governança: o sistema propõe, a pessoa decide</w:t>
      </w:r>
    </w:p>
    <w:p>
      <w:pPr/>
      <w:r>
        <w:t>Quatro mecanismos delimitam o que o software pode fazer.</w:t>
      </w:r>
    </w:p>
    <w:p>
      <w:pPr>
        <w:spacing w:line="360" w:lineRule="auto"/>
        <w:ind w:left="369" w:hanging="227"/>
      </w:pPr>
      <w:r>
        <w:t xml:space="preserve">1. </w:t>
      </w:r>
      <w:r>
        <w:rPr>
          <w:b/>
        </w:rPr>
        <w:t>Aprovação humana obrigatória.</w:t>
      </w:r>
      <w:r>
        <w:t xml:space="preserve"> Nenhuma ordem é transmitida, nem pode ser, porque a arquitetura não tem esse caminho.</w:t>
      </w:r>
    </w:p>
    <w:p>
      <w:pPr>
        <w:spacing w:line="360" w:lineRule="auto"/>
        <w:ind w:left="369" w:hanging="227"/>
      </w:pPr>
      <w:r>
        <w:t xml:space="preserve">2. </w:t>
      </w:r>
      <w:r>
        <w:rPr>
          <w:b/>
        </w:rPr>
        <w:t>Papel delimitado do modelo de linguagem.</w:t>
      </w:r>
      <w:r>
        <w:t xml:space="preserve"> O modelo organiza tese e riscos a partir de fatos já aprovados. Ele não define peso, não altera limite e não aprova ativo. Isso é uma restrição de arquitetura verificável, não uma promessa de conduta, e a Seção 5.4 mostra o experimento que testou o que aconteceria se ela fosse relaxada.</w:t>
      </w:r>
    </w:p>
    <w:p>
      <w:pPr>
        <w:spacing w:line="360" w:lineRule="auto"/>
        <w:ind w:left="369" w:hanging="227"/>
      </w:pPr>
      <w:r>
        <w:t xml:space="preserve">3. </w:t>
      </w:r>
      <w:r>
        <w:rPr>
          <w:b/>
        </w:rPr>
        <w:t>Conciliação pós-operação.</w:t>
      </w:r>
      <w:r>
        <w:t xml:space="preserve"> A nota de corretagem é confrontada linha a linha com a ordem proposta.</w:t>
      </w:r>
    </w:p>
    <w:p>
      <w:pPr>
        <w:spacing w:line="360" w:lineRule="auto"/>
        <w:ind w:left="369" w:hanging="227"/>
      </w:pPr>
      <w:r>
        <w:t xml:space="preserve">4. </w:t>
      </w:r>
      <w:r>
        <w:rPr>
          <w:b/>
        </w:rPr>
        <w:t>Limites explícitos e versionados.</w:t>
      </w:r>
      <w:r>
        <w:t xml:space="preserve"> Teto de renda variável, teto por emissor e reserva em caixa ficam na política, registrados antes da seleção.</w:t>
      </w:r>
    </w:p>
    <w:p>
      <w:pPr>
        <w:pStyle w:val="Heading1"/>
      </w:pPr>
      <w:r>
        <w:t>4. Método de avaliação</w:t>
      </w:r>
    </w:p>
    <w:p>
      <w:pPr>
        <w:pStyle w:val="Heading2"/>
      </w:pPr>
      <w:r>
        <w:t>4.1 Seleção aninhada: a janela que escolhe não é a janela que testa</w:t>
      </w:r>
    </w:p>
    <w:p>
      <w:pPr/>
      <w:r>
        <w:t xml:space="preserve">O artefato admite múltiplas configurações de política, combinando teto de renda variável, número de posições e família de fatores. Publicar a melhor delas medida sobre toda a amostra seria exatamente o erro que a Seção 2 descreve. O protocolo adotado é uma seleção aninhada: para decidir a configuração do ano </w:t>
      </w:r>
      <w:r>
        <w:rPr>
          <w:i/>
        </w:rPr>
        <w:t>t</w:t>
      </w:r>
      <w:r>
        <w:t xml:space="preserve">, o sistema ordena as 36 configurações usando somente os anos já encerrados antes de </w:t>
      </w:r>
      <w:r>
        <w:rPr>
          <w:i/>
        </w:rPr>
        <w:t>t</w:t>
      </w:r>
      <w:r>
        <w:t>, e adota a primeira colocada. Trocar de configuração é uma operação real, e é cobrada como rebalanceamento integral.</w:t>
      </w:r>
    </w:p>
    <w:p>
      <w:pPr/>
      <w:r>
        <w:t>O ranqueamento exige no mínimo três anos encerrados. Com o painel começando em 2012, isso torna 2012 a 2014 a janela de seleção e 2015 a 2025 a janela de avaliação, com onze decisões anuais, uma por ano. Os três anos de seleção aparecem nos gráficos, marcados como tal, e não entram em nenhuma métrica de manchete.</w:t>
      </w:r>
    </w:p>
    <w:p>
      <w:pPr>
        <w:pStyle w:val="Heading2"/>
      </w:pPr>
      <w:r>
        <w:t>4.2 Comparadores</w:t>
      </w:r>
    </w:p>
    <w:p>
      <w:pPr/>
      <w:r>
        <w:t>Quatro referências, todas calculadas de forma independente.</w:t>
      </w:r>
    </w:p>
    <w:p>
      <w:pPr>
        <w:spacing w:line="360" w:lineRule="auto"/>
        <w:ind w:left="369" w:hanging="227"/>
      </w:pPr>
      <w:r>
        <w:t xml:space="preserve">• </w:t>
      </w:r>
      <w:r>
        <w:rPr>
          <w:b/>
        </w:rPr>
        <w:t>CDI</w:t>
      </w:r>
      <w:r>
        <w:t>, série 12 do Banco Central, como custo de oportunidade do caixa.</w:t>
      </w:r>
    </w:p>
    <w:p>
      <w:pPr>
        <w:spacing w:line="360" w:lineRule="auto"/>
        <w:ind w:left="369" w:hanging="227"/>
      </w:pPr>
      <w:r>
        <w:t xml:space="preserve">• </w:t>
      </w:r>
      <w:r>
        <w:rPr>
          <w:b/>
        </w:rPr>
        <w:t>Ibovespa</w:t>
      </w:r>
      <w:r>
        <w:t>, que é um índice de retorno total e portanto comparável a uma carteira que reinveste proventos.</w:t>
      </w:r>
    </w:p>
    <w:p>
      <w:pPr>
        <w:spacing w:line="360" w:lineRule="auto"/>
        <w:ind w:left="369" w:hanging="227"/>
      </w:pPr>
      <w:r>
        <w:t xml:space="preserve">• </w:t>
      </w:r>
      <w:r>
        <w:rPr>
          <w:b/>
        </w:rPr>
        <w:t>BOVA11</w:t>
      </w:r>
      <w:r>
        <w:t>, o ETF efetivamente investível, para que a comparação não dependa de um índice não negociável.</w:t>
      </w:r>
    </w:p>
    <w:p>
      <w:pPr>
        <w:spacing w:line="360" w:lineRule="auto"/>
        <w:ind w:left="369" w:hanging="227"/>
      </w:pPr>
      <w:r>
        <w:t xml:space="preserve">• </w:t>
      </w:r>
      <w:r>
        <w:rPr>
          <w:b/>
        </w:rPr>
        <w:t>Otimização média-variância neutra</w:t>
      </w:r>
      <w:r>
        <w:t xml:space="preserve"> sobre o mesmo universo elegível, um comparador independente e não uma cópia da carteira com outro nome.</w:t>
      </w:r>
    </w:p>
    <w:p>
      <w:pPr/>
      <w:r>
        <w:t>Esse último merece nota. Em uma versão anterior do sistema, a série rotulada como MVO de referência era numericamente idêntica à estratégia em todos os anos, ou seja, a estratégia estava sendo comparada a si mesma. O defeito foi encontrado na auditoria interna, corrigido com uma implementação independente, e o comparador passou a produzir resultados distintos, inclusive desfavoráveis à estratégia em um dos onze anos.</w:t>
      </w:r>
    </w:p>
    <w:p>
      <w:pPr>
        <w:pStyle w:val="Heading2"/>
      </w:pPr>
      <w:r>
        <w:t>4.3 Correção por múltiplas tentativas</w:t>
      </w:r>
    </w:p>
    <w:p>
      <w:pPr/>
      <w:r>
        <w:t>Com 36 configurações avaliadas, o Sharpe da vencedora precisa ser deflacionado. Calculamos o Sharpe deflacionado com o número de tentativas, o número de observações e os momentos superiores da série de retornos.</w:t>
      </w:r>
    </w:p>
    <w:p>
      <w:pPr/>
      <w:r>
        <w:t>Medimos também o prêmio de retrospectiva, que é a diferença entre o CAGR da configuração que teria vencido a amostra inteira, escolha impossível na prática porque usa os anos sobre os quais é medida, e o CAGR da escolha aninhada. Esse número quantifica exatamente o que um concorrente ganharia publicando o vencedor da busca como se fosse resultado obtenível.</w:t>
      </w:r>
    </w:p>
    <w:p>
      <w:pPr>
        <w:pStyle w:val="Heading1"/>
      </w:pPr>
      <w:r>
        <w:t>5. Resultados</w:t>
      </w:r>
    </w:p>
    <w:p>
      <w:pPr>
        <w:pStyle w:val="Heading2"/>
      </w:pPr>
      <w:r>
        <w:t>5.1 Desempenho da carteira publicada</w:t>
      </w:r>
    </w:p>
    <w:p>
      <w:pPr/>
      <w:r>
        <w:t>Onze decisões anuais, de 2015 a 2025, líquidas de custos de execução.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rPr>
          <w:cantSplit/>
          <w:tblHeader w:val="true"/>
        </w:trPr>
        <w:tc>
          <w:tcPr>
            <w:tcW w:type="dxa" w:w="1814"/>
            <w:vAlign w:val="center"/>
            <w:shd w:fill="D9E7E5"/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Série</w:t>
            </w:r>
          </w:p>
        </w:tc>
        <w:tc>
          <w:tcPr>
            <w:tcW w:type="dxa" w:w="1814"/>
            <w:vAlign w:val="center"/>
            <w:shd w:fill="D9E7E5"/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CAGR</w:t>
            </w:r>
          </w:p>
        </w:tc>
        <w:tc>
          <w:tcPr>
            <w:tcW w:type="dxa" w:w="1814"/>
            <w:vAlign w:val="center"/>
            <w:shd w:fill="D9E7E5"/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R$ 100 mil viram</w:t>
            </w:r>
          </w:p>
        </w:tc>
        <w:tc>
          <w:tcPr>
            <w:tcW w:type="dxa" w:w="1814"/>
            <w:vAlign w:val="center"/>
            <w:shd w:fill="D9E7E5"/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Anos vencidos</w:t>
            </w:r>
          </w:p>
        </w:tc>
        <w:tc>
          <w:tcPr>
            <w:tcW w:type="dxa" w:w="1814"/>
            <w:vAlign w:val="center"/>
            <w:shd w:fill="D9E7E5"/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Queda máxima diária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Benevente</w:t>
            </w:r>
          </w:p>
        </w:tc>
        <w:tc>
          <w:tcPr>
            <w:tcW w:type="dxa" w:w="1814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17,86%</w:t>
            </w:r>
          </w:p>
        </w:tc>
        <w:tc>
          <w:tcPr>
            <w:tcW w:type="dxa" w:w="1814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R$ 609.832</w:t>
            </w:r>
          </w:p>
        </w:tc>
        <w:tc>
          <w:tcPr>
            <w:tcW w:type="dxa" w:w="1814"/>
            <w:vAlign w:val="center"/>
          </w:tcPr>
          <w:p>
            <w:pPr>
              <w:jc w:val="left"/>
            </w:pPr>
          </w:p>
        </w:tc>
        <w:tc>
          <w:tcPr>
            <w:tcW w:type="dxa" w:w="1814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18"/>
              </w:rPr>
              <w:t>−47,8%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18"/>
              </w:rPr>
              <w:t>Benevente, após IR</w:t>
            </w:r>
          </w:p>
        </w:tc>
        <w:tc>
          <w:tcPr>
            <w:tcW w:type="dxa" w:w="1814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18"/>
              </w:rPr>
              <w:t>16,03%</w:t>
            </w:r>
          </w:p>
        </w:tc>
        <w:tc>
          <w:tcPr>
            <w:tcW w:type="dxa" w:w="1814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18"/>
              </w:rPr>
              <w:t>R$ 513.052</w:t>
            </w:r>
          </w:p>
        </w:tc>
        <w:tc>
          <w:tcPr>
            <w:tcW w:type="dxa" w:w="1814"/>
            <w:vAlign w:val="center"/>
          </w:tcPr>
          <w:p>
            <w:pPr>
              <w:jc w:val="left"/>
            </w:pPr>
          </w:p>
        </w:tc>
        <w:tc>
          <w:tcPr>
            <w:tcW w:type="dxa" w:w="1814"/>
            <w:vAlign w:val="center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18"/>
              </w:rPr>
              <w:t>Ibovespa</w:t>
            </w:r>
          </w:p>
        </w:tc>
        <w:tc>
          <w:tcPr>
            <w:tcW w:type="dxa" w:w="1814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18"/>
              </w:rPr>
              <w:t>11,77%</w:t>
            </w:r>
          </w:p>
        </w:tc>
        <w:tc>
          <w:tcPr>
            <w:tcW w:type="dxa" w:w="1814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18"/>
              </w:rPr>
              <w:t>R$ 340.068</w:t>
            </w:r>
          </w:p>
        </w:tc>
        <w:tc>
          <w:tcPr>
            <w:tcW w:type="dxa" w:w="1814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18"/>
              </w:rPr>
              <w:t>7 de 11</w:t>
            </w:r>
          </w:p>
        </w:tc>
        <w:tc>
          <w:tcPr>
            <w:tcW w:type="dxa" w:w="1814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18"/>
              </w:rPr>
              <w:t>−47,0%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18"/>
              </w:rPr>
              <w:t>BOVA11 (ETF investível)</w:t>
            </w:r>
          </w:p>
        </w:tc>
        <w:tc>
          <w:tcPr>
            <w:tcW w:type="dxa" w:w="1814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18"/>
              </w:rPr>
              <w:t>11,72%</w:t>
            </w:r>
          </w:p>
        </w:tc>
        <w:tc>
          <w:tcPr>
            <w:tcW w:type="dxa" w:w="1814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18"/>
              </w:rPr>
              <w:t>R$ 338.545</w:t>
            </w:r>
          </w:p>
        </w:tc>
        <w:tc>
          <w:tcPr>
            <w:tcW w:type="dxa" w:w="1814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18"/>
              </w:rPr>
              <w:t>7 de 11</w:t>
            </w:r>
          </w:p>
        </w:tc>
        <w:tc>
          <w:tcPr>
            <w:tcW w:type="dxa" w:w="1814"/>
            <w:vAlign w:val="center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18"/>
              </w:rPr>
              <w:t>CDI</w:t>
            </w:r>
          </w:p>
        </w:tc>
        <w:tc>
          <w:tcPr>
            <w:tcW w:type="dxa" w:w="1814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18"/>
              </w:rPr>
              <w:t>9,61%</w:t>
            </w:r>
          </w:p>
        </w:tc>
        <w:tc>
          <w:tcPr>
            <w:tcW w:type="dxa" w:w="1814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18"/>
              </w:rPr>
              <w:t>R$ 274.368</w:t>
            </w:r>
          </w:p>
        </w:tc>
        <w:tc>
          <w:tcPr>
            <w:tcW w:type="dxa" w:w="1814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18"/>
              </w:rPr>
              <w:t>6 de 11</w:t>
            </w:r>
          </w:p>
        </w:tc>
        <w:tc>
          <w:tcPr>
            <w:tcW w:type="dxa" w:w="1814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18"/>
              </w:rPr>
              <w:t>0%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18"/>
              </w:rPr>
              <w:t>MVO neutra, mesmo universo</w:t>
            </w:r>
          </w:p>
        </w:tc>
        <w:tc>
          <w:tcPr>
            <w:tcW w:type="dxa" w:w="1814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18"/>
              </w:rPr>
              <w:t>7,83%</w:t>
            </w:r>
          </w:p>
        </w:tc>
        <w:tc>
          <w:tcPr>
            <w:tcW w:type="dxa" w:w="1814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18"/>
              </w:rPr>
              <w:t>R$ 229.255</w:t>
            </w:r>
          </w:p>
        </w:tc>
        <w:tc>
          <w:tcPr>
            <w:tcW w:type="dxa" w:w="1814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18"/>
              </w:rPr>
              <w:t>10 de 11</w:t>
            </w:r>
          </w:p>
        </w:tc>
        <w:tc>
          <w:tcPr>
            <w:tcW w:type="dxa" w:w="1814"/>
            <w:vAlign w:val="center"/>
          </w:tcPr>
          <w:p>
            <w:pPr>
              <w:jc w:val="left"/>
            </w:pPr>
          </w:p>
        </w:tc>
      </w:tr>
    </w:tbl>
    <w:p/>
    <w:p>
      <w:pPr/>
      <w:r>
        <w:t>A coluna em reais existe porque percentual é fácil de aprovar com a cabeça e difícil de sentir. Cem mil reais aplicados em janeiro de 2015 e resgatados no fim de 2025 seriam R$ 609.832 na carteira publicada, R$ 340.068 no Ibovespa e R$ 274.368 no CDI, uma diferença de R$ 269.764 para o mercado e de R$ 335.464 para o caixa.</w:t>
      </w:r>
    </w:p>
    <w:p>
      <w:pPr/>
      <w:r>
        <w:t>Em janelas móveis, contra o CDI a carteira vence 8 de 9 janelas de três anos, 6 de 7 de cinco anos e 2 de 2 de dez anos. Contra a otimização neutra, vence todas as janelas de três, cinco e dez anos. Registramos que janelas móveis se sobrepõem: as 9 janelas de três anos contêm apenas 3 blocos independentes, e as de dez anos, apenas 1. O número de janelas vencidas impressiona mais do que informa, e por isso publicamos os dois lados.</w:t>
      </w:r>
    </w:p>
    <w:p>
      <w:pPr/>
      <w:r>
        <w:rPr>
          <w:b/>
        </w:rPr>
        <w:t>O que esse resultado custa.</w:t>
      </w:r>
      <w:r>
        <w:t xml:space="preserve"> A queda máxima diária chegou a 47,8%, praticamente a mesma do Ibovespa no período, que foi de 47,0%, porque o protocolo aninhado elevou a parcela de renda variável a 95% entre 2018 e 2021. A carteira não é uma versão suavizada do mercado com retorno maior. É uma carteira concentrada que passou pelo mesmo tombo e se recuperou mais. Houve cinco trocas de configuração no período, e o orçamento de renda variável percorreu 55%, 75%, 95%, 75% e 55%.</w:t>
      </w:r>
    </w:p>
    <w:p>
      <w:pPr>
        <w:pStyle w:val="Heading2"/>
      </w:pPr>
      <w:r>
        <w:t>5.2 O resultado sobrevive à correção por múltiplas tentativas?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535"/>
        <w:gridCol w:w="4535"/>
      </w:tblGrid>
      <w:tr>
        <w:trPr>
          <w:cantSplit/>
          <w:tblHeader w:val="true"/>
        </w:trPr>
        <w:tc>
          <w:tcPr>
            <w:tcW w:type="dxa" w:w="4535"/>
            <w:vAlign w:val="center"/>
            <w:shd w:fill="D9E7E5"/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Estatística</w:t>
            </w:r>
          </w:p>
        </w:tc>
        <w:tc>
          <w:tcPr>
            <w:tcW w:type="dxa" w:w="4535"/>
            <w:vAlign w:val="center"/>
            <w:shd w:fill="D9E7E5"/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Valor</w:t>
            </w:r>
          </w:p>
        </w:tc>
      </w:tr>
      <w:tr>
        <w:trPr>
          <w:cantSplit/>
        </w:trPr>
        <w:tc>
          <w:tcPr>
            <w:tcW w:type="dxa" w:w="4535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18"/>
              </w:rPr>
              <w:t>Sharpe observado do excesso sobre o CDI</w:t>
            </w:r>
          </w:p>
        </w:tc>
        <w:tc>
          <w:tcPr>
            <w:tcW w:type="dxa" w:w="4535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18"/>
              </w:rPr>
              <w:t>0,933</w:t>
            </w:r>
          </w:p>
        </w:tc>
      </w:tr>
      <w:tr>
        <w:trPr>
          <w:cantSplit/>
        </w:trPr>
        <w:tc>
          <w:tcPr>
            <w:tcW w:type="dxa" w:w="4535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18"/>
              </w:rPr>
              <w:t>Sharpe máximo esperado sob a hipótese nula, com 36 tentativas</w:t>
            </w:r>
          </w:p>
        </w:tc>
        <w:tc>
          <w:tcPr>
            <w:tcW w:type="dxa" w:w="4535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18"/>
              </w:rPr>
              <w:t>0,355</w:t>
            </w:r>
          </w:p>
        </w:tc>
      </w:tr>
      <w:tr>
        <w:trPr>
          <w:cantSplit/>
        </w:trPr>
        <w:tc>
          <w:tcPr>
            <w:tcW w:type="dxa" w:w="4535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Sharpe deflacionado</w:t>
            </w:r>
          </w:p>
        </w:tc>
        <w:tc>
          <w:tcPr>
            <w:tcW w:type="dxa" w:w="4535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0,986</w:t>
            </w:r>
          </w:p>
        </w:tc>
      </w:tr>
      <w:tr>
        <w:trPr>
          <w:cantSplit/>
        </w:trPr>
        <w:tc>
          <w:tcPr>
            <w:tcW w:type="dxa" w:w="4535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18"/>
              </w:rPr>
              <w:t>Significante a 95%</w:t>
            </w:r>
          </w:p>
        </w:tc>
        <w:tc>
          <w:tcPr>
            <w:tcW w:type="dxa" w:w="4535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18"/>
              </w:rPr>
              <w:t>sim</w:t>
            </w:r>
          </w:p>
        </w:tc>
      </w:tr>
      <w:tr>
        <w:trPr>
          <w:cantSplit/>
        </w:trPr>
        <w:tc>
          <w:tcPr>
            <w:tcW w:type="dxa" w:w="4535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Prêmio de retrospectiva</w:t>
            </w:r>
          </w:p>
        </w:tc>
        <w:tc>
          <w:tcPr>
            <w:tcW w:type="dxa" w:w="4535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0,65 p.p. ao ano</w:t>
            </w:r>
          </w:p>
        </w:tc>
      </w:tr>
    </w:tbl>
    <w:p/>
    <w:p>
      <w:pPr/>
      <w:r>
        <w:t>O prêmio de retrospectiva merece leitura cuidadosa, porque é a medida mais informativa do conjunto. Ele diz que escolher a configuração vencedora sabendo o desfecho teria rendido apenas 0,65 ponto percentual a mais por ano do que a escolha aninhada, que não sabia. Em uma versão anterior deste mesmo sistema, com um ano a menos de treino, esse prêmio era de 4,98 pontos, ou seja, a busca estava fazendo boa parte do trabalho. Estender a base de dados para permitir decisões desde 2012 reduziu o prêmio por um fator de sete e elevou o Sharpe deflacionado de 0,957 para 0,986. O ganho relevante da última iteração do artefato não foi retorno. Foi a redução da parcela do retorno atribuível à própria busca.</w:t>
      </w:r>
    </w:p>
    <w:p>
      <w:pPr>
        <w:pStyle w:val="Heading2"/>
      </w:pPr>
      <w:r>
        <w:t>5.3 O que não funcionou</w:t>
      </w:r>
    </w:p>
    <w:p>
      <w:pPr/>
      <w:r>
        <w:t>Quatro hipóteses foram testadas e nenhuma se sustentou. São publicadas com o mesmo destaque do resultado positivo, porque um artefato que só reporta o que deu certo não é auditável.</w:t>
      </w:r>
    </w:p>
    <w:p>
      <w:pPr/>
      <w:r>
        <w:rPr>
          <w:b/>
        </w:rPr>
        <w:t>Previsão anual de regime.</w:t>
      </w:r>
      <w:r>
        <w:t xml:space="preserve"> Testamos se indicadores disponíveis em janeiro, entre prêmio de lucro sobre o CDI, nível do CDI, retorno e volatilidade do mercado nos doze meses anteriores e distância do topo, anteciparam se o ano seria de ações ou de caixa. Sobre 8 anos, o melhor preditor acertou 3 de 4 chamadas efetivas, com p de 0,31 contra cara-ou-coroa. Um acerto de 75% em quatro tentativas não distingue habilidade de sorte. O prêmio disponível para quem acertasse todas as chamadas era de 6,5 pontos percentuais ao ano, e permanece inalcançável. Sem sinal.</w:t>
      </w:r>
    </w:p>
    <w:p>
      <w:pPr/>
      <w:r>
        <w:rPr>
          <w:b/>
        </w:rPr>
        <w:t>Realocação mensal e semanal.</w:t>
      </w:r>
      <w:r>
        <w:t xml:space="preserve"> Aumentamos as observações para responder à objeção de poder estatístico. Foram 118 períodos mensais e 521 períodos semanais, com sete regras de alocação contínua testadas em cada frequência. Nenhuma das sete regras superou o peso estático de forma estatisticamente significante em nenhuma das duas frequências, e uma delas, a de média-variância, foi significativamente pior. O oráculo, que conhece o futuro, teria feito 72,8% ao ano no mensal e 137,1% no semanal, contra 21,1% do estático. O prêmio por acertar o tempo é enorme, e nada que testamos consegue capturá-lo. Rejeitada.</w:t>
      </w:r>
    </w:p>
    <w:p>
      <w:pPr/>
      <w:r>
        <w:rPr>
          <w:b/>
        </w:rPr>
        <w:t>Reseleção mais frequente da cesta.</w:t>
      </w:r>
      <w:r>
        <w:t xml:space="preserve"> A objeção seguinte é diferente da anterior e precisa ser separada dela: não se a proporção entre ações e caixa deve mudar mais vezes, que é o que o parágrafo acima rejeita, mas se a própria cesta deveria ser retriada, reordenada e reotimizada mais vezes por ano. Testamos três cadências com a mesma regra, os mesmos limites e o mesmo painel, variando apenas as datas de decisão.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512"/>
        <w:gridCol w:w="1512"/>
        <w:gridCol w:w="1512"/>
        <w:gridCol w:w="1512"/>
        <w:gridCol w:w="1512"/>
        <w:gridCol w:w="1512"/>
      </w:tblGrid>
      <w:tr>
        <w:trPr>
          <w:cantSplit/>
          <w:tblHeader w:val="true"/>
        </w:trPr>
        <w:tc>
          <w:tcPr>
            <w:tcW w:type="dxa" w:w="1512"/>
            <w:vAlign w:val="center"/>
            <w:shd w:fill="D9E7E5"/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Cadência</w:t>
            </w:r>
          </w:p>
        </w:tc>
        <w:tc>
          <w:tcPr>
            <w:tcW w:type="dxa" w:w="1512"/>
            <w:vAlign w:val="center"/>
            <w:shd w:fill="D9E7E5"/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Decisões</w:t>
            </w:r>
          </w:p>
        </w:tc>
        <w:tc>
          <w:tcPr>
            <w:tcW w:type="dxa" w:w="1512"/>
            <w:vAlign w:val="center"/>
            <w:shd w:fill="D9E7E5"/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CAGR bruto</w:t>
            </w:r>
          </w:p>
        </w:tc>
        <w:tc>
          <w:tcPr>
            <w:tcW w:type="dxa" w:w="1512"/>
            <w:vAlign w:val="center"/>
            <w:shd w:fill="D9E7E5"/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Líquido de custo</w:t>
            </w:r>
          </w:p>
        </w:tc>
        <w:tc>
          <w:tcPr>
            <w:tcW w:type="dxa" w:w="1512"/>
            <w:vAlign w:val="center"/>
            <w:shd w:fill="D9E7E5"/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Após IR</w:t>
            </w:r>
          </w:p>
        </w:tc>
        <w:tc>
          <w:tcPr>
            <w:tcW w:type="dxa" w:w="1512"/>
            <w:vAlign w:val="center"/>
            <w:shd w:fill="D9E7E5"/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Giro no ano</w:t>
            </w:r>
          </w:p>
        </w:tc>
      </w:tr>
      <w:tr>
        <w:trPr>
          <w:cantSplit/>
        </w:trPr>
        <w:tc>
          <w:tcPr>
            <w:tcW w:type="dxa" w:w="1512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Anual</w:t>
            </w:r>
          </w:p>
        </w:tc>
        <w:tc>
          <w:tcPr>
            <w:tcW w:type="dxa" w:w="1512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18"/>
              </w:rPr>
              <w:t>11</w:t>
            </w:r>
          </w:p>
        </w:tc>
        <w:tc>
          <w:tcPr>
            <w:tcW w:type="dxa" w:w="1512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18,58%</w:t>
            </w:r>
          </w:p>
        </w:tc>
        <w:tc>
          <w:tcPr>
            <w:tcW w:type="dxa" w:w="1512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18,51%</w:t>
            </w:r>
          </w:p>
        </w:tc>
        <w:tc>
          <w:tcPr>
            <w:tcW w:type="dxa" w:w="1512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17,09%</w:t>
            </w:r>
          </w:p>
        </w:tc>
        <w:tc>
          <w:tcPr>
            <w:tcW w:type="dxa" w:w="1512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18"/>
              </w:rPr>
              <w:t>62,1%</w:t>
            </w:r>
          </w:p>
        </w:tc>
      </w:tr>
      <w:tr>
        <w:trPr>
          <w:cantSplit/>
        </w:trPr>
        <w:tc>
          <w:tcPr>
            <w:tcW w:type="dxa" w:w="1512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18"/>
              </w:rPr>
              <w:t>Trimestral</w:t>
            </w:r>
          </w:p>
        </w:tc>
        <w:tc>
          <w:tcPr>
            <w:tcW w:type="dxa" w:w="1512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18"/>
              </w:rPr>
              <w:t>44</w:t>
            </w:r>
          </w:p>
        </w:tc>
        <w:tc>
          <w:tcPr>
            <w:tcW w:type="dxa" w:w="1512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18"/>
              </w:rPr>
              <w:t>16,37%</w:t>
            </w:r>
          </w:p>
        </w:tc>
        <w:tc>
          <w:tcPr>
            <w:tcW w:type="dxa" w:w="1512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18"/>
              </w:rPr>
              <w:t>16,25%</w:t>
            </w:r>
          </w:p>
        </w:tc>
        <w:tc>
          <w:tcPr>
            <w:tcW w:type="dxa" w:w="1512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18"/>
              </w:rPr>
              <w:t>15,60%</w:t>
            </w:r>
          </w:p>
        </w:tc>
        <w:tc>
          <w:tcPr>
            <w:tcW w:type="dxa" w:w="1512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18"/>
              </w:rPr>
              <w:t>116,0%</w:t>
            </w:r>
          </w:p>
        </w:tc>
      </w:tr>
      <w:tr>
        <w:trPr>
          <w:cantSplit/>
        </w:trPr>
        <w:tc>
          <w:tcPr>
            <w:tcW w:type="dxa" w:w="1512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18"/>
              </w:rPr>
              <w:t>Mensal</w:t>
            </w:r>
          </w:p>
        </w:tc>
        <w:tc>
          <w:tcPr>
            <w:tcW w:type="dxa" w:w="1512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18"/>
              </w:rPr>
              <w:t>132</w:t>
            </w:r>
          </w:p>
        </w:tc>
        <w:tc>
          <w:tcPr>
            <w:tcW w:type="dxa" w:w="1512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18"/>
              </w:rPr>
              <w:t>13,92%</w:t>
            </w:r>
          </w:p>
        </w:tc>
        <w:tc>
          <w:tcPr>
            <w:tcW w:type="dxa" w:w="1512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18"/>
              </w:rPr>
              <w:t>13,75%</w:t>
            </w:r>
          </w:p>
        </w:tc>
        <w:tc>
          <w:tcPr>
            <w:tcW w:type="dxa" w:w="1512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18"/>
              </w:rPr>
              <w:t>13,32%</w:t>
            </w:r>
          </w:p>
        </w:tc>
        <w:tc>
          <w:tcPr>
            <w:tcW w:type="dxa" w:w="1512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18"/>
              </w:rPr>
              <w:t>177,6%</w:t>
            </w:r>
          </w:p>
        </w:tc>
      </w:tr>
    </w:tbl>
    <w:p/>
    <w:p>
      <w:pPr/>
      <w:r>
        <w:t xml:space="preserve">Nenhuma cadência mais rápida superou a anual. Pareando por ano-calendário, a trimestral fica 1,55 ponto percentual abaixo ao ano após imposto, com p de 0,376, e a mensal 3,27 pontos abaixo, com p de 0,306. A leitura correta é que </w:t>
      </w:r>
      <w:r>
        <w:rPr>
          <w:b/>
        </w:rPr>
        <w:t>não há evidência de que decidir mais vezes ajude</w:t>
      </w:r>
      <w:r>
        <w:t>, e não que esteja provado que atrapalhe: onze anos pareados não sustentam a afirmação mais forte.</w:t>
      </w:r>
    </w:p>
    <w:p>
      <w:pPr/>
      <w:r>
        <w:t>O mecanismo contraria a intuição corrente, que atribuiria a diferença a custo e imposto. A perda está no retorno bruto, que cai 4,66 pontos de anual para mensal antes de qualquer dedução. O custo de execução sobe apenas 0,08 ponto ao ano, e o imposto modelado até diminui, porque cada revisão mensal realiza uma fatia menor do livro. Ou seja, decidir mais vezes piora a seleção antes de encarecer a operação. O sinal combina qualidade, valor e momento, grandezas que se movem em horizonte anual, e reordenar todo mês troca posições antes que a tese tenha tempo de se realizar.</w:t>
      </w:r>
    </w:p>
    <w:p>
      <w:pPr/>
      <w:r>
        <w:t>Registramos uma fraqueza do modelo tributário nessa comparação: ele cobra imposto sobre o ganho do próprio período, e não sobre o ganho acumulado da posição efetivamente vendida, o que subestima a conta do braço mensal. O viés favorece a cadência mais rápida, e ela perdeu mesmo assim, então a conclusão é robusta a essa limitação.</w:t>
      </w:r>
    </w:p>
    <w:p>
      <w:pPr/>
      <w:r>
        <w:rPr>
          <w:b/>
        </w:rPr>
        <w:t>Modelo de linguagem como fonte de retorno.</w:t>
      </w:r>
      <w:r>
        <w:t xml:space="preserve"> Este é o teste que mais interessa à governança do produto, e está detalhado a seguir.</w:t>
      </w:r>
    </w:p>
    <w:p>
      <w:pPr>
        <w:pStyle w:val="Heading2"/>
      </w:pPr>
      <w:r>
        <w:t>5.4 O experimento com modelo de linguagem: três nulos</w:t>
      </w:r>
    </w:p>
    <w:p>
      <w:pPr/>
      <w:r>
        <w:t>O sistema usa um modelo de linguagem em papel deliberadamente restrito. Para verificar se essa restrição custa desempenho, e se o modelo agrega algo, montamos quatro braços sobre 13 anos, com o mesmo universo elegível.</w:t>
      </w:r>
    </w:p>
    <w:p>
      <w:pPr>
        <w:spacing w:line="360" w:lineRule="auto"/>
        <w:ind w:left="369" w:hanging="227"/>
      </w:pPr>
      <w:r>
        <w:t xml:space="preserve">• </w:t>
      </w:r>
      <w:r>
        <w:rPr>
          <w:b/>
        </w:rPr>
        <w:t>Nomeado:</w:t>
      </w:r>
      <w:r>
        <w:t xml:space="preserve"> o modelo vê os nomes das empresas e devolve um escore limitado, que inclina o retorno esperado dentro do otimizador convexo.</w:t>
      </w:r>
    </w:p>
    <w:p>
      <w:pPr>
        <w:spacing w:line="360" w:lineRule="auto"/>
        <w:ind w:left="369" w:hanging="227"/>
      </w:pPr>
      <w:r>
        <w:t xml:space="preserve">• </w:t>
      </w:r>
      <w:r>
        <w:rPr>
          <w:b/>
        </w:rPr>
        <w:t>Anonimizado:</w:t>
      </w:r>
      <w:r>
        <w:t xml:space="preserve"> idêntico, mas as empresas são identificadas apenas por números, de modo que o modelo vê os fundamentos e não as marcas.</w:t>
      </w:r>
    </w:p>
    <w:p>
      <w:pPr>
        <w:spacing w:line="360" w:lineRule="auto"/>
        <w:ind w:left="369" w:hanging="227"/>
      </w:pPr>
      <w:r>
        <w:t xml:space="preserve">• </w:t>
      </w:r>
      <w:r>
        <w:rPr>
          <w:b/>
        </w:rPr>
        <w:t>Determinístico:</w:t>
      </w:r>
      <w:r>
        <w:t xml:space="preserve"> controle sem modelo algum, ordenando o mesmo universo pelo escore de fator pré-declarado.</w:t>
      </w:r>
    </w:p>
    <w:p>
      <w:pPr>
        <w:spacing w:line="360" w:lineRule="auto"/>
        <w:ind w:left="369" w:hanging="227"/>
      </w:pPr>
      <w:r>
        <w:t xml:space="preserve">• </w:t>
      </w:r>
      <w:r>
        <w:rPr>
          <w:b/>
        </w:rPr>
        <w:t>Monolítico:</w:t>
      </w:r>
      <w:r>
        <w:t xml:space="preserve"> o contrafactual em que o modelo devolve pesos diretamente, sem otimizador e sem restrições.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rPr>
          <w:cantSplit/>
          <w:tblHeader w:val="true"/>
        </w:trPr>
        <w:tc>
          <w:tcPr>
            <w:tcW w:type="dxa" w:w="3024"/>
            <w:vAlign w:val="center"/>
            <w:shd w:fill="D9E7E5"/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Comparação</w:t>
            </w:r>
          </w:p>
        </w:tc>
        <w:tc>
          <w:tcPr>
            <w:tcW w:type="dxa" w:w="3024"/>
            <w:vAlign w:val="center"/>
            <w:shd w:fill="D9E7E5"/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Diferença anualizada</w:t>
            </w:r>
          </w:p>
        </w:tc>
        <w:tc>
          <w:tcPr>
            <w:tcW w:type="dxa" w:w="3024"/>
            <w:vAlign w:val="center"/>
            <w:shd w:fill="D9E7E5"/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p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18"/>
              </w:rPr>
              <w:t>Nomeado menos anonimizado (contaminação temporal)</w:t>
            </w:r>
          </w:p>
        </w:tc>
        <w:tc>
          <w:tcPr>
            <w:tcW w:type="dxa" w:w="3024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18"/>
              </w:rPr>
              <w:t>+0,38 p.p.</w:t>
            </w:r>
          </w:p>
        </w:tc>
        <w:tc>
          <w:tcPr>
            <w:tcW w:type="dxa" w:w="3024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18"/>
              </w:rPr>
              <w:t>0,905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18"/>
              </w:rPr>
              <w:t>Anonimizado menos determinístico (valor agregado pelo modelo)</w:t>
            </w:r>
          </w:p>
        </w:tc>
        <w:tc>
          <w:tcPr>
            <w:tcW w:type="dxa" w:w="3024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18"/>
              </w:rPr>
              <w:t>−0,05 p.p.</w:t>
            </w:r>
          </w:p>
        </w:tc>
        <w:tc>
          <w:tcPr>
            <w:tcW w:type="dxa" w:w="3024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18"/>
              </w:rPr>
              <w:t>0,989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18"/>
              </w:rPr>
              <w:t>Anonimizado menos monolítico (valor do desacoplamento)</w:t>
            </w:r>
          </w:p>
        </w:tc>
        <w:tc>
          <w:tcPr>
            <w:tcW w:type="dxa" w:w="3024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18"/>
              </w:rPr>
              <w:t>+0,81 p.p.</w:t>
            </w:r>
          </w:p>
        </w:tc>
        <w:tc>
          <w:tcPr>
            <w:tcW w:type="dxa" w:w="3024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18"/>
              </w:rPr>
              <w:t>0,777</w:t>
            </w:r>
          </w:p>
        </w:tc>
      </w:tr>
    </w:tbl>
    <w:p/>
    <w:p>
      <w:pPr/>
      <w:r>
        <w:t>Três nulos, e cada um significa algo diferente.</w:t>
      </w:r>
    </w:p>
    <w:p>
      <w:pPr>
        <w:spacing w:line="360" w:lineRule="auto"/>
        <w:ind w:left="369" w:hanging="227"/>
      </w:pPr>
      <w:r>
        <w:t xml:space="preserve">1. </w:t>
      </w:r>
      <w:r>
        <w:rPr>
          <w:b/>
        </w:rPr>
        <w:t>Não há evidência de contaminação temporal.</w:t>
      </w:r>
      <w:r>
        <w:t xml:space="preserve"> O braço nomeado não lucrou por reconhecer empresas cujo destino o modelo poderia conhecer do treinamento. Essa era a objeção mais séria a qualquer uso de modelo de linguagem em backtest histórico, e ela não se sustentou nesta configuração.</w:t>
      </w:r>
    </w:p>
    <w:p>
      <w:pPr>
        <w:spacing w:line="360" w:lineRule="auto"/>
        <w:ind w:left="369" w:hanging="227"/>
      </w:pPr>
      <w:r>
        <w:t xml:space="preserve">2. </w:t>
      </w:r>
      <w:r>
        <w:rPr>
          <w:b/>
        </w:rPr>
        <w:t>O modelo não agrega retorno.</w:t>
      </w:r>
      <w:r>
        <w:t xml:space="preserve"> Ele reproduz o ranqueamento determinístico em vez de acrescentar julgamento, com diferença de cinco centésimos de ponto percentual e sinal negativo. Isso é uma constatação desconfortável para o discurso de mercado sobre IA em investimentos, e é exatamente por isso que está publicada.</w:t>
      </w:r>
    </w:p>
    <w:p>
      <w:pPr>
        <w:spacing w:line="360" w:lineRule="auto"/>
        <w:ind w:left="369" w:hanging="227"/>
      </w:pPr>
      <w:r>
        <w:t xml:space="preserve">3. </w:t>
      </w:r>
      <w:r>
        <w:rPr>
          <w:b/>
        </w:rPr>
        <w:t>O desacoplamento não custa desempenho.</w:t>
      </w:r>
      <w:r>
        <w:t xml:space="preserve"> Manter o modelo longe dos pesos não penalizou o resultado, e se algo o braço desacoplado foi melhor. O braço monolítico, que recebeu a caneta, </w:t>
      </w:r>
      <w:r>
        <w:rPr>
          <w:b/>
        </w:rPr>
        <w:t>não estourou nenhum teto</w:t>
      </w:r>
      <w:r>
        <w:t>, o que é uma constatação a favor dele e precisa ser dita. O que ele produziu foram carteiras aritmeticamente inválidas: os pesos não somavam um em 5 dos 13 anos, variando de 0,92 a 1,017, e em 2021 e 2022 omitiu 65 e 83 ativos elegíveis sem sinalizar. O otimizador não se justifica por impedir violação de limite, e sim por devolver uma alocação válida que não precise de conserto depois.</w:t>
      </w:r>
    </w:p>
    <w:p>
      <w:pPr/>
      <w:r>
        <w:t>A conclusão de produto é direta. O modelo de linguagem justifica-se no Benevente por organizar e explicar decisões, não por gerá-las. Vender IA como fonte de alfa, com base nestes dados, seria vender algo que medimos e não encontramos.</w:t>
      </w:r>
    </w:p>
    <w:p>
      <w:pPr>
        <w:pStyle w:val="Heading2"/>
      </w:pPr>
      <w:r>
        <w:t>5.5 Defeitos encontrados na própria auditoria</w:t>
      </w:r>
    </w:p>
    <w:p>
      <w:pPr/>
      <w:r>
        <w:t>O artefato passou por auditoria interna adversarial. Sete defeitos foram encontrados e corrigidos, e todos inflavam o resultado.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rPr>
          <w:cantSplit/>
          <w:tblHeader w:val="true"/>
        </w:trPr>
        <w:tc>
          <w:tcPr>
            <w:tcW w:type="dxa" w:w="3024"/>
            <w:vAlign w:val="center"/>
            <w:shd w:fill="D9E7E5"/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Defeito</w:t>
            </w:r>
          </w:p>
        </w:tc>
        <w:tc>
          <w:tcPr>
            <w:tcW w:type="dxa" w:w="3024"/>
            <w:vAlign w:val="center"/>
            <w:shd w:fill="D9E7E5"/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Efeito</w:t>
            </w:r>
          </w:p>
        </w:tc>
        <w:tc>
          <w:tcPr>
            <w:tcW w:type="dxa" w:w="3024"/>
            <w:vAlign w:val="center"/>
            <w:shd w:fill="D9E7E5"/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Correção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18"/>
              </w:rPr>
              <w:t>Comparador MVO idêntico à estratégia</w:t>
            </w:r>
          </w:p>
        </w:tc>
        <w:tc>
          <w:tcPr>
            <w:tcW w:type="dxa" w:w="3024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18"/>
              </w:rPr>
              <w:t>Comparação da estratégia consigo mesma</w:t>
            </w:r>
          </w:p>
        </w:tc>
        <w:tc>
          <w:tcPr>
            <w:tcW w:type="dxa" w:w="3024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18"/>
              </w:rPr>
              <w:t>Implementação independente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18"/>
              </w:rPr>
              <w:t>Painel de provedor descartava deslistadas</w:t>
            </w:r>
          </w:p>
        </w:tc>
        <w:tc>
          <w:tcPr>
            <w:tcW w:type="dxa" w:w="3024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18"/>
              </w:rPr>
              <w:t>Viés de sobrevivência</w:t>
            </w:r>
          </w:p>
        </w:tc>
        <w:tc>
          <w:tcPr>
            <w:tcW w:type="dxa" w:w="3024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18"/>
              </w:rPr>
              <w:t>Universo reconstruído do arquivo da B3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18"/>
              </w:rPr>
              <w:t>Ano de deslistagem descartado inteiro</w:t>
            </w:r>
          </w:p>
        </w:tc>
        <w:tc>
          <w:tcPr>
            <w:tcW w:type="dxa" w:w="3024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18"/>
              </w:rPr>
              <w:t>Perda truncava o ano</w:t>
            </w:r>
          </w:p>
        </w:tc>
        <w:tc>
          <w:tcPr>
            <w:tcW w:type="dxa" w:w="3024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18"/>
              </w:rPr>
              <w:t>Liquidação da posição em CDI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18"/>
              </w:rPr>
              <w:t>Imposto ausente</w:t>
            </w:r>
          </w:p>
        </w:tc>
        <w:tc>
          <w:tcPr>
            <w:tcW w:type="dxa" w:w="3024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18"/>
              </w:rPr>
              <w:t>Retorno superestimado</w:t>
            </w:r>
          </w:p>
        </w:tc>
        <w:tc>
          <w:tcPr>
            <w:tcW w:type="dxa" w:w="3024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18"/>
              </w:rPr>
              <w:t>Modelo tributário brasileiro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18"/>
              </w:rPr>
              <w:t>Custo fixo ignorando liquidez</w:t>
            </w:r>
          </w:p>
        </w:tc>
        <w:tc>
          <w:tcPr>
            <w:tcW w:type="dxa" w:w="3024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18"/>
              </w:rPr>
              <w:t>Ordem grande sem penalidade</w:t>
            </w:r>
          </w:p>
        </w:tc>
        <w:tc>
          <w:tcPr>
            <w:tcW w:type="dxa" w:w="3024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18"/>
              </w:rPr>
              <w:t>Deslizamento por participação no volume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18"/>
              </w:rPr>
              <w:t>Rebalanceamento diário implícito</w:t>
            </w:r>
          </w:p>
        </w:tc>
        <w:tc>
          <w:tcPr>
            <w:tcW w:type="dxa" w:w="3024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18"/>
              </w:rPr>
              <w:t>Artefato de vetorização</w:t>
            </w:r>
          </w:p>
        </w:tc>
        <w:tc>
          <w:tcPr>
            <w:tcW w:type="dxa" w:w="3024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18"/>
              </w:rPr>
              <w:t>Trajetória de compra e manutenção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18"/>
              </w:rPr>
              <w:t>Filtro de sessões usando pico global</w:t>
            </w:r>
          </w:p>
        </w:tc>
        <w:tc>
          <w:tcPr>
            <w:tcW w:type="dxa" w:w="3024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18"/>
              </w:rPr>
              <w:t>Anos legítimos descartados</w:t>
            </w:r>
          </w:p>
        </w:tc>
        <w:tc>
          <w:tcPr>
            <w:tcW w:type="dxa" w:w="3024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18"/>
              </w:rPr>
              <w:t>Pico móvel local</w:t>
            </w:r>
          </w:p>
        </w:tc>
      </w:tr>
    </w:tbl>
    <w:p/>
    <w:p>
      <w:pPr/>
      <w:r>
        <w:t>Depois da última correção, o CAGR publicado caiu, a queda máxima subiu de 30,4% para 47,8%, e o número foi publicado assim mesmo. Essa é a evidência de processo que o produto vende: não que o resultado seja bom, mas que ele é o resultado que sobrou depois de procurar defeitos com afinco.</w:t>
      </w:r>
    </w:p>
    <w:p>
      <w:pPr>
        <w:pStyle w:val="Heading1"/>
      </w:pPr>
      <w:r>
        <w:t>6. Contribuição tecnológica e aderência ao mercado</w:t>
      </w:r>
    </w:p>
    <w:p>
      <w:pPr/>
      <w:r>
        <w:t>O fluxo de uso foi desenhado para que cada tela responda à pergunta criada pela anterior. Primeiro, a instituição escolhe a política e aceita os limites. Segundo, o sistema mostra quais arquivos e demonstrações estavam disponíveis e quais passaram na validação. Terceiro, a triagem informa ativos aprovados e reprovados com motivos. Quarto, a carteira candidata apresenta pesos, parcela em CDI, custo e comparação com as referências. Quinto, a pessoa revisa a tese em linguagem natural, aprova ou rejeita e registra a justificativa. Por fim, o dossiê reúne a decisão inteira, inclusive a versão da regra e os hashes dos arquivos. O usuário não precisa alternar entre um laboratório técnico e um documento separado; a experiência e a prova são duas visões do mesmo registro.</w:t>
      </w:r>
    </w:p>
    <w:p>
      <w:pPr/>
      <w:r>
        <w:rPr>
          <w:b/>
        </w:rPr>
        <w:t>Para o escritório.</w:t>
      </w:r>
      <w:r>
        <w:t xml:space="preserve"> O sistema entrega, por decisão, um dossiê completo, com política aplicada, dados com data e hash, tela de elegibilidade com motivo de cada reprovação, pesos, ordens com lote e participação no volume, e custo estimado. O que antes era reconstruído a mão sob pressão passa a ser subproduto da própria operação.</w:t>
      </w:r>
    </w:p>
    <w:p>
      <w:pPr/>
      <w:r>
        <w:rPr>
          <w:b/>
        </w:rPr>
        <w:t>Para o cliente final.</w:t>
      </w:r>
      <w:r>
        <w:t xml:space="preserve"> A pergunta "por que este papel?" passa a ter resposta datada e verificável, e a pergunta simétrica, "por que não aquele?", também.</w:t>
      </w:r>
    </w:p>
    <w:p>
      <w:pPr/>
      <w:r>
        <w:rPr>
          <w:b/>
        </w:rPr>
        <w:t>Para o ecossistema capixaba.</w:t>
      </w:r>
      <w:r>
        <w:t xml:space="preserve"> A hipótese comercial não é “rendemos mais”. É que um escritório local com processo demonstrável pode reter uma parcela maior do trabalho analítico e do relacionamento de longo prazo no estado. Essa hipótese precisa ser testada em entrevistas e pilotos; o backtest não a comprova.</w:t>
      </w:r>
    </w:p>
    <w:p>
      <w:pPr/>
      <w:r>
        <w:rPr>
          <w:b/>
        </w:rPr>
        <w:t>Modelo de oferta a validar.</w:t>
      </w:r>
      <w:r>
        <w:t xml:space="preserve"> A primeira versão comercial pode ser licenciada por instituição, com cobrança por usuários e número de políticas acompanhadas, e um serviço de implantação para integrar fontes, identidade, aprovação e arquivo documental. Não há preço publicado nem receita comprovada. As métricas do piloto devem ser tempo para produzir um dossiê, percentual de decisões com evidência completa, divergência entre custo previsto e nota conciliada, número de revisões exigidas e disposição a pagar. Retorno da carteira permanece uma medida de pesquisa e acompanhamento, nunca base de remuneração ou garantia contratual.</w:t>
      </w:r>
    </w:p>
    <w:p>
      <w:pPr/>
      <w:r>
        <w:rPr>
          <w:b/>
        </w:rPr>
        <w:t>Maturidade.</w:t>
      </w:r>
      <w:r>
        <w:t xml:space="preserve"> O artefato está em estágio de pesquisa reprodutível, não de produto validado institucionalmente. A janela de 2015 a 2025 foi usada para desenvolver e escolher a regra, e portanto descreve a amostra e não prevê o futuro. A avaliação prospectiva começa a partir do registro congelado, cujo hash está versionado no repositório com data carimbada por terceiro. Um registro pré-especificado que exista apenas no disco de quem o escreveu não demonstra anterioridade nenhuma.</w:t>
      </w:r>
    </w:p>
    <w:p>
      <w:pPr>
        <w:pStyle w:val="Heading1"/>
      </w:pPr>
      <w:r>
        <w:t>7. Limitações</w:t>
      </w:r>
    </w:p>
    <w:p>
      <w:pPr/>
      <w:r>
        <w:t>Declaradas sem atenuação, porque uma limitação omitida vira defeito descoberto pelo avaliador.</w:t>
      </w:r>
    </w:p>
    <w:p>
      <w:pPr>
        <w:spacing w:line="360" w:lineRule="auto"/>
        <w:ind w:left="369" w:hanging="227"/>
      </w:pPr>
      <w:r>
        <w:t xml:space="preserve">1. </w:t>
      </w:r>
      <w:r>
        <w:rPr>
          <w:b/>
        </w:rPr>
        <w:t>A janela avaliada é a janela de desenvolvimento.</w:t>
      </w:r>
      <w:r>
        <w:t xml:space="preserve"> Onze anos avaliados não são onze anos de validação prospectiva. O prêmio de retrospectiva de 0,65 p.p. limita o problema, mas não o elimina.</w:t>
      </w:r>
    </w:p>
    <w:p>
      <w:pPr>
        <w:spacing w:line="360" w:lineRule="auto"/>
        <w:ind w:left="369" w:hanging="227"/>
      </w:pPr>
      <w:r>
        <w:t xml:space="preserve">2. </w:t>
      </w:r>
      <w:r>
        <w:rPr>
          <w:b/>
        </w:rPr>
        <w:t>O detector de eventos societários tem recall de 23,3%.</w:t>
      </w:r>
      <w:r>
        <w:t xml:space="preserve"> Ele é conservador, e proventos, juros sobre capital próprio e eventos de papéis deslistados ainda exigem reconciliação contra registro primário da B3 ou da CVM antes de qualquer afirmação comercial de desempenho.</w:t>
      </w:r>
    </w:p>
    <w:p>
      <w:pPr>
        <w:spacing w:line="360" w:lineRule="auto"/>
        <w:ind w:left="369" w:hanging="227"/>
      </w:pPr>
      <w:r>
        <w:t xml:space="preserve">3. </w:t>
      </w:r>
      <w:r>
        <w:rPr>
          <w:b/>
        </w:rPr>
        <w:t>Distribuições imputadas.</w:t>
      </w:r>
      <w:r>
        <w:t xml:space="preserve"> Papéis sem cobertura de provedor recebem o rendimento mediano da seção transversal do ano. É uma aproximação, e os papéis afetados estão listados no relatório de cobertura.</w:t>
      </w:r>
    </w:p>
    <w:p>
      <w:pPr>
        <w:spacing w:line="360" w:lineRule="auto"/>
        <w:ind w:left="369" w:hanging="227"/>
      </w:pPr>
      <w:r>
        <w:t xml:space="preserve">4. </w:t>
      </w:r>
      <w:r>
        <w:rPr>
          <w:b/>
        </w:rPr>
        <w:t>A queda máxima é grande.</w:t>
      </w:r>
      <w:r>
        <w:t xml:space="preserve"> Quase 48% em base diária. Nenhuma suitability razoável coloca um cliente conservador nessa carteira.</w:t>
      </w:r>
    </w:p>
    <w:p>
      <w:pPr>
        <w:spacing w:line="360" w:lineRule="auto"/>
        <w:ind w:left="369" w:hanging="227"/>
      </w:pPr>
      <w:r>
        <w:t xml:space="preserve">5. </w:t>
      </w:r>
      <w:r>
        <w:rPr>
          <w:b/>
        </w:rPr>
        <w:t>Onze observações anuais são poucas.</w:t>
      </w:r>
      <w:r>
        <w:t xml:space="preserve"> O Sharpe deflacionado corrige o viés de busca, não o tamanho da amostra.</w:t>
      </w:r>
    </w:p>
    <w:p>
      <w:pPr>
        <w:spacing w:line="360" w:lineRule="auto"/>
        <w:ind w:left="369" w:hanging="227"/>
      </w:pPr>
      <w:r>
        <w:t xml:space="preserve">6. </w:t>
      </w:r>
      <w:r>
        <w:rPr>
          <w:b/>
        </w:rPr>
        <w:t>Uso comercial exige estrutura regulatória própria.</w:t>
      </w:r>
      <w:r>
        <w:t xml:space="preserve"> O sistema é apoio à decisão e trilha de auditoria. Não é recomendação individual, gestão discricionária, nem promessa de superar referências.</w:t>
      </w:r>
    </w:p>
    <w:p>
      <w:pPr>
        <w:pStyle w:val="Heading1"/>
      </w:pPr>
      <w:r>
        <w:t>8. Agenda</w:t>
      </w:r>
    </w:p>
    <w:p>
      <w:pPr>
        <w:spacing w:line="360" w:lineRule="auto"/>
        <w:ind w:left="369" w:hanging="227"/>
      </w:pPr>
      <w:r>
        <w:t>• Acumular anos avaliados depois do registro congelado, que é a única evidência capaz de mudar o estatuto do artefato de pesquisa para validado.</w:t>
      </w:r>
    </w:p>
    <w:p>
      <w:pPr>
        <w:spacing w:line="360" w:lineRule="auto"/>
        <w:ind w:left="369" w:hanging="227"/>
      </w:pPr>
      <w:r>
        <w:t>• Reconciliar eventos societários e proventos contra registro primário, elevando o recall do detector.</w:t>
      </w:r>
    </w:p>
    <w:p>
      <w:pPr>
        <w:spacing w:line="360" w:lineRule="auto"/>
        <w:ind w:left="369" w:hanging="227"/>
      </w:pPr>
      <w:r>
        <w:t>• Repetir o experimento de contaminação em modelos com datas de corte de treinamento distintas, para separar contaminação de capacidade.</w:t>
      </w:r>
    </w:p>
    <w:p>
      <w:pPr>
        <w:spacing w:line="360" w:lineRule="auto"/>
        <w:ind w:left="369" w:hanging="227"/>
      </w:pPr>
      <w:r>
        <w:t>• Pré-registrar um estudo trimestral ou orientado a eventos, com notícias arquivadas, horário de publicação e corte temporal verificável, sem reotimizar a regra anual depois de observar o resultado.</w:t>
      </w:r>
    </w:p>
    <w:p>
      <w:pPr>
        <w:spacing w:line="360" w:lineRule="auto"/>
        <w:ind w:left="369" w:hanging="227"/>
      </w:pPr>
      <w:r>
        <w:t>• Instrumentar o piloto em escritório capixaba, medindo tempo de produção do dossiê e taxa de divergência na conciliação de notas.</w:t>
      </w:r>
    </w:p>
    <w:p>
      <w:pPr>
        <w:pStyle w:val="Heading1"/>
      </w:pPr>
      <w:r>
        <w:t>9. Disponibilidade</w:t>
      </w:r>
    </w:p>
    <w:p>
      <w:pPr/>
      <w:r>
        <w:t>O sistema publicado, com o dossiê anual navegável, a comparação interativa contra referências e ativos escolhidos pelo leitor, e as páginas de método, está em https://benevente-wealth-system.vercel.app.</w:t>
      </w:r>
    </w:p>
    <w:p>
      <w:pPr>
        <w:pStyle w:val="Heading1"/>
      </w:pPr>
      <w:r>
        <w:t>Referências</w:t>
      </w:r>
    </w:p>
    <w:p>
      <w:pPr/>
      <w:r>
        <w:rPr>
          <w:i/>
        </w:rPr>
        <w:t>A completar conforme as normas do periódico.</w:t>
      </w:r>
      <w:r>
        <w:t xml:space="preserve"> Núcleo mínimo:</w:t>
      </w:r>
    </w:p>
    <w:p>
      <w:pPr>
        <w:spacing w:line="360" w:lineRule="auto"/>
        <w:ind w:left="369" w:hanging="227"/>
      </w:pPr>
      <w:r>
        <w:t xml:space="preserve">• BAILEY, D. H.; LÓPEZ DE PRADO, M. The Deflated Sharpe Ratio: Correcting for Selection Bias, Backtest Overfitting, and Non-Normality. </w:t>
      </w:r>
      <w:r>
        <w:rPr>
          <w:i/>
        </w:rPr>
        <w:t>Journal of Portfolio Management</w:t>
      </w:r>
      <w:r>
        <w:t>, 2014.</w:t>
      </w:r>
    </w:p>
    <w:p>
      <w:pPr>
        <w:spacing w:line="360" w:lineRule="auto"/>
        <w:ind w:left="369" w:hanging="227"/>
      </w:pPr>
      <w:r>
        <w:t xml:space="preserve">• BAILEY, D. H. et al. The Probability of Backtest Overfitting. </w:t>
      </w:r>
      <w:r>
        <w:rPr>
          <w:i/>
        </w:rPr>
        <w:t>Journal of Computational Finance</w:t>
      </w:r>
      <w:r>
        <w:t>, 2016.</w:t>
      </w:r>
    </w:p>
    <w:p>
      <w:pPr>
        <w:spacing w:line="360" w:lineRule="auto"/>
        <w:ind w:left="369" w:hanging="227"/>
      </w:pPr>
      <w:r>
        <w:t xml:space="preserve">• LÓPEZ DE PRADO, M. </w:t>
      </w:r>
      <w:r>
        <w:rPr>
          <w:i/>
        </w:rPr>
        <w:t>Advances in Financial Machine Learning</w:t>
      </w:r>
      <w:r>
        <w:t>. Wiley, 2018.</w:t>
      </w:r>
    </w:p>
    <w:p>
      <w:pPr>
        <w:spacing w:line="360" w:lineRule="auto"/>
        <w:ind w:left="369" w:hanging="227"/>
      </w:pPr>
      <w:r>
        <w:t xml:space="preserve">• HARVEY, C. R.; LIU, Y.; ZHU, H. …and the Cross-Section of Expected Returns. </w:t>
      </w:r>
      <w:r>
        <w:rPr>
          <w:i/>
        </w:rPr>
        <w:t>Review of Financial Studies</w:t>
      </w:r>
      <w:r>
        <w:t>, 2016.</w:t>
      </w:r>
    </w:p>
    <w:p>
      <w:pPr>
        <w:spacing w:line="360" w:lineRule="auto"/>
        <w:ind w:left="369" w:hanging="227"/>
      </w:pPr>
      <w:r>
        <w:t>• BRASIL. Comissão de Valores Mobiliários. Formulários ITR e DFP.</w:t>
      </w:r>
    </w:p>
    <w:p>
      <w:pPr>
        <w:spacing w:line="360" w:lineRule="auto"/>
        <w:ind w:left="369" w:hanging="227"/>
      </w:pPr>
      <w:r>
        <w:t>• BANCO CENTRAL DO BRASIL. Sistema Gerenciador de Séries Temporais, série 12 (CDI).</w:t>
      </w:r>
    </w:p>
    <w:p>
      <w:pPr>
        <w:spacing w:line="360" w:lineRule="auto"/>
        <w:ind w:left="369" w:hanging="227"/>
      </w:pPr>
      <w:r>
        <w:t>• B3. Arquivo histórico de cotações (COTAHIST).</w:t>
      </w:r>
    </w:p>
    <w:p>
      <w:pPr>
        <w:spacing w:line="360" w:lineRule="auto"/>
        <w:ind w:left="369" w:hanging="227"/>
      </w:pPr>
      <w:r>
        <w:t xml:space="preserve">• BLACK, F.; LITTERMAN, R. Global Portfolio Optimization. </w:t>
      </w:r>
      <w:r>
        <w:rPr>
          <w:i/>
        </w:rPr>
        <w:t>Financial Analysts Journal</w:t>
      </w:r>
      <w:r>
        <w:t>, v. 48, n. 5, p. 28–43, 1992.</w:t>
      </w:r>
    </w:p>
    <w:p>
      <w:pPr>
        <w:spacing w:line="360" w:lineRule="auto"/>
        <w:ind w:left="369" w:hanging="227"/>
      </w:pPr>
      <w:r>
        <w:t xml:space="preserve">• DEMIGUEL, V.; GARLAPPI, L.; UPPAL, R. Optimal versus naive diversification: how inefficient is the 1/N portfolio strategy? </w:t>
      </w:r>
      <w:r>
        <w:rPr>
          <w:i/>
        </w:rPr>
        <w:t>The Review of Financial Studies</w:t>
      </w:r>
      <w:r>
        <w:t>, v. 22, n. 5, p. 1915–1953, 2009.</w:t>
      </w:r>
    </w:p>
    <w:p>
      <w:pPr>
        <w:spacing w:line="360" w:lineRule="auto"/>
        <w:ind w:left="369" w:hanging="227"/>
      </w:pPr>
      <w:r>
        <w:t xml:space="preserve">• NOVY-MARX, R.; VELIKOV, M. A taxonomy of anomalies and their trading costs. </w:t>
      </w:r>
      <w:r>
        <w:rPr>
          <w:i/>
        </w:rPr>
        <w:t>The Review of Financial Studies</w:t>
      </w:r>
      <w:r>
        <w:t>, v. 29, n. 1, p. 104–147, 2016.</w:t>
      </w:r>
    </w:p>
    <w:p>
      <w:pPr>
        <w:spacing w:line="360" w:lineRule="auto"/>
        <w:ind w:left="369" w:hanging="227"/>
      </w:pPr>
      <w:r>
        <w:t xml:space="preserve">• BENEVENTE WEALTH SYSTEM. </w:t>
      </w:r>
      <w:r>
        <w:rPr>
          <w:b/>
        </w:rPr>
        <w:t>Documentação técnica, repositório de dados e validação de horizontes</w:t>
      </w:r>
      <w:r>
        <w:t>. Repositório do projeto, 2026.</w:t>
      </w:r>
    </w:p>
    <w:p>
      <w:pPr>
        <w:pStyle w:val="Heading2"/>
      </w:pPr>
      <w:r>
        <w:t>Nota sobre a origem dos números</w:t>
      </w:r>
    </w:p>
    <w:p>
      <w:pPr/>
      <w:r>
        <w:t xml:space="preserve">Todos os valores deste texto foram extraídos dos artefatos de execução do sistema, não transcritos de versões anteriores do material. As fontes primárias são </w:t>
      </w:r>
      <w:r>
        <w:rPr>
          <w:rFonts w:ascii="Courier New" w:hAnsi="Courier New"/>
          <w:sz w:val="18"/>
        </w:rPr>
        <w:t>artifacts/published_nested/annual_results.csv</w:t>
      </w:r>
      <w:r>
        <w:t xml:space="preserve"> para a série anual publicada, </w:t>
      </w:r>
      <w:r>
        <w:rPr>
          <w:rFonts w:ascii="Courier New" w:hAnsi="Courier New"/>
          <w:sz w:val="18"/>
        </w:rPr>
        <w:t>artifacts/audit_evidence/audit_evidence.json</w:t>
      </w:r>
      <w:r>
        <w:t xml:space="preserve"> para o placar anual e as janelas móveis, </w:t>
      </w:r>
      <w:r>
        <w:rPr>
          <w:rFonts w:ascii="Courier New" w:hAnsi="Courier New"/>
          <w:sz w:val="18"/>
        </w:rPr>
        <w:t>artifacts/configuration_search_2012/summary.json</w:t>
      </w:r>
      <w:r>
        <w:t xml:space="preserve"> para a busca de configuração, o Sharpe deflacionado e o prêmio de retrospectiva, </w:t>
      </w:r>
      <w:r>
        <w:rPr>
          <w:rFonts w:ascii="Courier New" w:hAnsi="Courier New"/>
          <w:sz w:val="18"/>
        </w:rPr>
        <w:t>artifacts/alloc_monthly/</w:t>
      </w:r>
      <w:r>
        <w:t xml:space="preserve"> e </w:t>
      </w:r>
      <w:r>
        <w:rPr>
          <w:rFonts w:ascii="Courier New" w:hAnsi="Courier New"/>
          <w:sz w:val="18"/>
        </w:rPr>
        <w:t>artifacts/alloc_weekly/</w:t>
      </w:r>
      <w:r>
        <w:t xml:space="preserve"> para a realocação, </w:t>
      </w:r>
      <w:r>
        <w:rPr>
          <w:rFonts w:ascii="Courier New" w:hAnsi="Courier New"/>
          <w:sz w:val="18"/>
        </w:rPr>
        <w:t>artifacts/allocation_regime/</w:t>
      </w:r>
      <w:r>
        <w:t xml:space="preserve"> para o regime anual, </w:t>
      </w:r>
      <w:r>
        <w:rPr>
          <w:rFonts w:ascii="Courier New" w:hAnsi="Courier New"/>
          <w:sz w:val="18"/>
        </w:rPr>
        <w:t>artifacts/llm_contamination/summary.json</w:t>
      </w:r>
      <w:r>
        <w:t xml:space="preserve"> para o experimento com modelo de linguagem, e o manifesto do painel de preços, que carrega o SHA-256 do arquivo que gerou cada série.</w:t>
      </w:r>
    </w:p>
    <w:sectPr>
      <w:pgSz w:h="16838" w:w="11906" w:orient="portrait"/>
      <w:pgMar w:bottom="1134" w:top="1701" w:left="1701" w:right="1134" w:header="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  <w:font w:name="Google Sans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590.3999984264374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2">
    <w:lvl w:ilvl="0">
      <w:start w:val="1"/>
      <w:numFmt w:val="decimal"/>
      <w:lvlText w:val="%1."/>
      <w:lvlJc w:val="left"/>
      <w:pPr>
        <w:ind w:left="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3">
    <w:lvl w:ilvl="0">
      <w:start w:val="1"/>
      <w:numFmt w:val="bullet"/>
      <w:lvlText w:val="●"/>
      <w:lvlJc w:val="left"/>
      <w:pPr>
        <w:ind w:left="590.3999984264374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4">
    <w:lvl w:ilvl="0">
      <w:start w:val="1"/>
      <w:numFmt w:val="decimal"/>
      <w:lvlText w:val="%1."/>
      <w:lvlJc w:val="left"/>
      <w:pPr>
        <w:ind w:left="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5">
    <w:lvl w:ilvl="0">
      <w:start w:val="1"/>
      <w:numFmt w:val="bullet"/>
      <w:lvlText w:val="●"/>
      <w:lvlJc w:val="left"/>
      <w:pPr>
        <w:ind w:left="590.3999984264374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6">
    <w:lvl w:ilvl="0">
      <w:start w:val="1"/>
      <w:numFmt w:val="bullet"/>
      <w:lvlText w:val="●"/>
      <w:lvlJc w:val="left"/>
      <w:pPr>
        <w:ind w:left="590.3999984264374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7">
    <w:lvl w:ilvl="0">
      <w:start w:val="1"/>
      <w:numFmt w:val="decimal"/>
      <w:lvlText w:val="%1."/>
      <w:lvlJc w:val="left"/>
      <w:pPr>
        <w:ind w:left="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8">
    <w:lvl w:ilvl="0">
      <w:start w:val="1"/>
      <w:numFmt w:val="bullet"/>
      <w:lvlText w:val="●"/>
      <w:lvlJc w:val="left"/>
      <w:pPr>
        <w:ind w:left="590.3999984264374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9">
    <w:lvl w:ilvl="0">
      <w:start w:val="1"/>
      <w:numFmt w:val="bullet"/>
      <w:lvlText w:val="●"/>
      <w:lvlJc w:val="left"/>
      <w:pPr>
        <w:ind w:left="590.3999984264374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</w:rPr>
    </w:rPrDefault>
    <w:pPrDefault>
      <w:pPr>
        <w:widowControl w:val="0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  <w:pPr>
      <w:spacing w:line="360" w:lineRule="auto" w:after="120"/>
      <w:jc w:val="both"/>
    </w:pPr>
    <w:rPr>
      <w:rFonts w:ascii="Times New Roman" w:hAnsi="Times New Roman"/>
      <w:sz w:val="24"/>
    </w:rPr>
  </w:style>
  <w:style w:type="paragraph" w:styleId="Heading1">
    <w:name w:val="heading 1"/>
    <w:basedOn w:val="Normal"/>
    <w:next w:val="Normal"/>
    <w:pPr>
      <w:keepNext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120" w:before="240" w:lineRule="auto"/>
    </w:pPr>
    <w:rPr>
      <w:rFonts w:ascii="Times New Roman" w:hAnsi="Times New Roman"/>
      <w:b/>
      <w:bCs w:val="1"/>
      <w:i w:val="0"/>
      <w:iCs w:val="0"/>
      <w:sz w:val="28"/>
      <w:szCs w:val="48"/>
    </w:rPr>
  </w:style>
  <w:style w:type="paragraph" w:styleId="Heading2">
    <w:name w:val="heading 2"/>
    <w:basedOn w:val="Normal"/>
    <w:next w:val="Normal"/>
    <w:pPr>
      <w:keepNext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120" w:before="240" w:lineRule="auto"/>
    </w:pPr>
    <w:rPr>
      <w:rFonts w:ascii="Times New Roman" w:hAnsi="Times New Roman"/>
      <w:b/>
      <w:bCs w:val="1"/>
      <w:i w:val="0"/>
      <w:iCs w:val="0"/>
      <w:sz w:val="26"/>
      <w:szCs w:val="36"/>
    </w:rPr>
  </w:style>
  <w:style w:type="paragraph" w:styleId="Heading3">
    <w:name w:val="heading 3"/>
    <w:basedOn w:val="Normal"/>
    <w:next w:val="Normal"/>
    <w:pPr>
      <w:keepNext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120" w:before="240" w:lineRule="auto"/>
    </w:pPr>
    <w:rPr>
      <w:rFonts w:ascii="Times New Roman" w:hAnsi="Times New Roman"/>
      <w:b/>
      <w:bCs w:val="1"/>
      <w:i w:val="0"/>
      <w:iCs w:val="0"/>
      <w:sz w:val="24"/>
      <w:szCs w:val="28"/>
    </w:rPr>
  </w:style>
  <w:style w:type="paragraph" w:styleId="Heading4">
    <w:name w:val="heading 4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255" w:before="255" w:lineRule="auto"/>
    </w:pPr>
    <w:rPr>
      <w:b w:val="1"/>
      <w:bCs w:val="1"/>
      <w:i w:val="0"/>
      <w:iCs w:val="0"/>
      <w:sz w:val="24"/>
      <w:szCs w:val="24"/>
    </w:rPr>
  </w:style>
  <w:style w:type="paragraph" w:styleId="Heading5">
    <w:name w:val="heading 5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255" w:before="255" w:lineRule="auto"/>
    </w:pPr>
    <w:rPr>
      <w:b w:val="1"/>
      <w:bCs w:val="1"/>
      <w:i w:val="0"/>
      <w:iCs w:val="0"/>
      <w:sz w:val="18"/>
      <w:szCs w:val="18"/>
    </w:rPr>
  </w:style>
  <w:style w:type="paragraph" w:styleId="Heading6">
    <w:name w:val="heading 6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360" w:before="360" w:lineRule="auto"/>
    </w:pPr>
    <w:rPr>
      <w:b w:val="1"/>
      <w:bCs w:val="1"/>
      <w:i w:val="0"/>
      <w:iCs w:val="0"/>
      <w:sz w:val="16"/>
      <w:szCs w:val="16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yperlink" Target="https://www.gov.br/capes/" TargetMode="External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GoogleSans-regular.ttf"/><Relationship Id="rId2" Type="http://schemas.openxmlformats.org/officeDocument/2006/relationships/font" Target="fonts/GoogleSans-bold.ttf"/><Relationship Id="rId3" Type="http://schemas.openxmlformats.org/officeDocument/2006/relationships/font" Target="fonts/GoogleSans-italic.ttf"/><Relationship Id="rId4" Type="http://schemas.openxmlformats.org/officeDocument/2006/relationships/font" Target="fonts/GoogleSans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Benevente Wealth System</dc:title>
  <cp:lastModifiedBy/>
  <cp:revision>1</cp:revision>
  <dcterms:modified xsi:type="dcterms:W3CDTF">2026-08-12T18:55:08Z</dcterms:modified>
  <dc:creator/>
  <dc:subject>Manuscrito tecnológico BTech 2026</dc:subject>
</cp:coreProperties>
</file>