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 WEALTH SYSTEM: UM ARTEFATO AUDITÁVEL PARA DECISÕES DE CARTEIRA</w:t>
      </w:r>
    </w:p>
    <w:p>
      <w:pPr>
        <w:pStyle w:val="Authornames"/>
        <w:spacing w:before="0" w:after="0"/>
        <w:ind w:firstLine="0"/>
        <w:jc w:val="center"/>
      </w:pPr>
      <w:r>
        <w:t>Diego Gallina</w:t>
      </w:r>
    </w:p>
    <w:p>
      <w:pPr>
        <w:pStyle w:val="Affiliation"/>
        <w:spacing w:before="0" w:after="240"/>
        <w:ind w:firstLine="0"/>
        <w:jc w:val="center"/>
      </w:pPr>
      <w:r>
        <w:t>Fucape Business School, Vitória, ES, Brasil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Decisões de carteira precisam continuar explicáveis depois de executadas. Este trabalho constrói e avalia o Benevente Wealth System, um artefato de apoio à decisão que reúne, no mesmo registro, os dados admitidos, a regra quantitativa, a carteira proposta, a explicação e a aprovação humana. A pesquisa segue design science e avalia o artefato por testes funcionais, auditoria adversarial e um diagnóstico histórico sequencial de onze decisões entre 2015 e 2025. A auditoria encontrou sete defeitos capazes de inflar resultados e revelou uma limitação material: 13,9% da exposição acumulada a ações selecionadas dependeu de séries com proventos imputados. Por isso, o retorno histórico é apresentado como diagnóstico de desenvolvimento, não como validação comercial. Uma reamostragem pareada indica estabilidade interna, mas os intervalos de 95% do excesso de retorno cruzam zero contra CDI, Ibovespa e BOVA11. O protocolo prospectivo foi congelado em 16 de agosto de 2026 e ainda não possui observações suficientes para conclusão. O modelo de linguagem não demonstrou ganho de retorno e permanece restrito à explicação. A contribuição comprovada é a separação verificável entre dado, cálculo, linguagem e responsabilidade.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Este trabalho parte de um problema operacional delimitado: a recomendação é produzida hoje, mas pode precisar ser defendida meses ou anos depois. Se a instituição não preserva o dado admitido, a versão da regra e a aprovação, a justificativa posterior pode incorporar informações que não existiam quando a decisão foi tomada. O Benevente foi construído para produzir a proposta e o registro que permitirá revisá-la. A existência desse problema no público-alvo, sua intensidade e a disposição a pagar pela solução ainda precisam ser medidas em piloto. O artigo não atribui ao artefato impacto regional, demanda comercial ou retenção de capital que não tenham sido observados.</w:t>
      </w:r>
    </w:p>
    <w:p>
      <w:pPr>
        <w:pStyle w:val="Normal"/>
      </w:pPr>
      <w:r>
        <w:t>O problema é concreto e tem data. Quando um cliente pergunta em 2026 por que determinada ação entrou na carteira em janeiro de 2023, o escritório precisa demonstrar três coisas simultaneamente.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data. Um balanço republicado em 2024 não pode aparecer como se estivesse disponível em janeiro de 2023. Sem controle de data de recebimento, todo backtest e toda justificativa ficam contaminados por informação que ninguém tinha.</w:t>
      </w:r>
    </w:p>
    <w:p>
      <w:pPr>
        <w:pStyle w:val="Normal"/>
        <w:ind w:firstLine="0"/>
        <w:numPr>
          <w:ilvl w:val="0"/>
          <w:numId w:val="3"/>
        </w:numPr>
      </w:pPr>
      <w:r>
        <w:t>Qual regra foi aplicada. Não a regra que o escritório usa hoje, mas a que estava vigente naquele janeiro, com os limites que estavam vigentes.</w:t>
      </w:r>
    </w:p>
    <w:p>
      <w:pPr>
        <w:pStyle w:val="Normal"/>
        <w:ind w:firstLine="0"/>
        <w:numPr>
          <w:ilvl w:val="0"/>
          <w:numId w:val="3"/>
        </w:numPr>
      </w:pPr>
      <w:r>
        <w:t>Quem aprovou. Uma decisão de alocação sem responsável identificado não é auditável, e a automação sem aprovação humana desloca a responsabilidade para um sistema que não pode respondê-la.</w:t>
      </w:r>
    </w:p>
    <w:p>
      <w:pPr>
        <w:pStyle w:val="Normal"/>
      </w:pPr>
      <w:r>
        <w:t>Planilhas podem falhar nas três quando são usadas sem controle de versão: sobrescrevem o estado anterior, misturam regra e dado e não preservam autoria. Sistemas fechados podem entregar uma carteira sem evidenciar o critério aplicado. O requisito do artefato é permitir que uma pessoa independente refaça o caminho da decisão sem depender da memória de quem a produziu.</w:t>
      </w:r>
    </w:p>
    <w:p>
      <w:pPr>
        <w:pStyle w:val="Normal"/>
      </w:pPr>
      <w:r>
        <w:t>A questão que orienta este trabalho é, portanto, de engenharia e de governança antes de ser de finanças: como construir um artefato que produza recomendação e prova ao mesmo tempo, e cuja própria evidência de desempenho resista a auditoria hostil?</w:t>
      </w:r>
    </w:p>
    <w:p>
      <w:pPr>
        <w:pStyle w:val="Normal"/>
      </w:pPr>
      <w:r>
        <w:t>O objetivo é construir e avaliar um artefato B2B que transforme cada recomendação em um documento verificável. O método segue ciência do projeto, ou design science: identificar o problema, explicitar requisitos, construir o artefato e avaliá-lo por utilidade, qualidade e capacidade de produzir evidência (Hevner et al., 2004; Peffers et al., 2007). A avaliação combina testes de funcionamento, inspeção das fontes, tentativas deliberadas de encontrar erros e um diagnóstico financeiro histórico. A contribuição é dupla: um protocolo quantitativo que pode ser reexecutado e um fluxo de trabalho que preserva quem decidiu, com qual informação e sob qual política. O retorno passado é uma medida secundária de comportamento do protótipo, não a prova principal de utilidade nem uma promessa de desempenho futuro.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inicial do Benevente são escritórios de investimento, consultorias de valores mobiliários e estruturas de gestão patrimonial que precisam recomendar, revisar e defender carteiras. Nesse ambiente, a dificuldade não termina quando o peso de cada ativo é calculado. A instituição precisa preservar o contexto da decisão, demonstrar por que um ativo foi aceito ou recusado e comparar o resultado com alternativas reconhecíveis pelo cliente. O piloto comercial proposto poderá ser realizado no Espírito Santo por conveniência e aderência ao congresso, mas sua função será medir o problema e a utilidade do artefato, não confirmar antecipadamente um efeito sobre a economia local.</w:t>
      </w:r>
    </w:p>
    <w:p>
      <w:pPr>
        <w:pStyle w:val="Normal"/>
      </w:pPr>
      <w:r>
        <w:t>Três problemas metodológicos bem documentados na literatura de finanças quantitativas foram tratados como requisitos de projeto, não como ressalvas de rodapé.</w:t>
      </w:r>
    </w:p>
    <w:p>
      <w:pPr>
        <w:pStyle w:val="Normal"/>
      </w:pPr>
      <w:r>
        <w:t>Viés de sobrevivência. Painéis montados a partir de provedores públicos de preço ajustado servem as empresas que ainda existem. Reconstruir o universo a partir de um provedor desses apaga silenciosamente toda empresa deslistada, adquirida ou liquidada, justamente as que produziram os piores retornos. O efeito é sistemático e sempre favorável ao backtest.</w:t>
      </w:r>
    </w:p>
    <w:p>
      <w:pPr>
        <w:pStyle w:val="Normal"/>
      </w:pPr>
      <w:r>
        <w:t>Informação disponível na data. Fundamentos precisam ser lidos como estavam no momento da decisão, com data de recebimento pelo regulador, não com a versão consolidada e eventualmente republicada. Chamar isso de detalhe é subestimar o problema: a diferença aparece com sinal previsível, sempre a favor de quem testa.</w:t>
      </w:r>
    </w:p>
    <w:p>
      <w:pPr>
        <w:pStyle w:val="Normal"/>
      </w:pPr>
      <w:r>
        <w:t>Múltiplas tentativas. Quando se avaliam dezenas de configurações e se publica a melhor, o índice de Sharpe observado é enviesado para cima pela própria busca. Bailey e López de Prado formalizaram o problema com o Sharpe deflacionado, que corrige a estatística pelo número de tentativas e pelos momentos superiores da distribuição de retornos. Sem essa correção, qualquer busca suficientemente ampla produz um vencedor aparentemente significativo.</w:t>
      </w:r>
    </w:p>
    <w:p>
      <w:pPr>
        <w:pStyle w:val="Normal"/>
      </w:pPr>
      <w:r>
        <w:t>Quatro referências clássicas orientam a construção financeira do artefato. Markowitz (1952) mostrou que uma carteira precisa ser analisada pela interação entre retornos e covariâncias, e não pela atratividade isolada de cada ativo. A otimização média-variância, chamada neste artigo de MVO, estima a relação entre retorno esperado e risco conjunto e escolhe pesos sob restrições. No Benevente, ela funciona como comparação independente. A pergunta é simples: o que uma carteira guiada apenas por médias, covariâncias e limites teria produzido sobre o mesmo conjunto elegível? Isso evita atribuir ao filtro fundamental um ganho que possa vir apenas da diversificação. A ênfase em qualidade dialoga com Novy-Marx (2013), enquanto o uso conjunto de valor, qualidade e confirmação de mercado se aproxima da lógica multifatorial de Fama e French (2015), sem pretender reproduzir exatamente seus fatores.</w:t>
      </w:r>
    </w:p>
    <w:p>
      <w:pPr>
        <w:pStyle w:val="Normal"/>
      </w:pPr>
      <w:r>
        <w:t>Black e Litterman (1992) combinam equilíbrio de mercado e visões. O Benevente adota somente a separação conceitual: fatos e sinais geram o ranking, enquanto a linguagem explica a visão sem alterar a alocação. O modelo Black–Litterman não é implementado na carteira publicada.</w:t>
      </w:r>
    </w:p>
    <w:p>
      <w:pPr>
        <w:pStyle w:val="Normal"/>
      </w:pPr>
      <w:r>
        <w:t>DeMiguel, Garlappi e Uppal (2009) demonstram como erro de estimação pode eliminar, fora da amostra, a vantagem aparente de métodos sofisticados sobre uma diversificação simples. A resposta do projeto não é presumir que um otimizador sempre melhora o resultado. É publicar uma referência independente, impor um número mínimo de posições, limitar a interpretação das métricas e comparar decisões em sequência temporal. O resultado de 7,83% ao ano do MVO de referência nesta execução não prova que MVO é inferior em geral. Mostra somente que aquela implementação, com aquele universo elegível e aquelas estimativas disponíveis em cada janeiro, produziu esse caminho. Em outra amostra ou especificação, a ordem pode se inverter.</w:t>
      </w:r>
    </w:p>
    <w:p>
      <w:pPr>
        <w:pStyle w:val="Normal"/>
      </w:pPr>
      <w:r>
        <w:t>Novy-Marx e Velikov (2016) mostram que custos de negociação podem consumir anomalias documentadas. O diagnóstico deduz taxas e deslizamento estimado, mede giro e penaliza trocas. Como estimativa não é nota de corretagem, o produto prevê conciliação posterior com o custo observado.</w:t>
      </w:r>
    </w:p>
    <w:p>
      <w:pPr>
        <w:pStyle w:val="Normal"/>
      </w:pPr>
      <w:r>
        <w:t>Essas escolhas definem o tipo de evidência que o trabalho pode produzir. O backtest é um experimento histórico sobre um protocolo e não uma simulação da experiência individual de todo cliente. Suitability, necessidade de liquidez, tributação específica, ativos já detidos e restrições contratuais podem mudar a carteira implementável. Por isso, o artefato separa três objetos que costumam aparecer misturados: a regra acadêmica usada para medir o sinal; a política institucional que limita o risco; e o texto explicativo que ajuda uma pessoa a revisar a decisão. Uma boa curva não substitui nenhum dos três.</w:t>
      </w:r>
    </w:p>
    <w:p>
      <w:pPr>
        <w:pStyle w:val="Normal"/>
      </w:pPr>
      <w:r>
        <w:t>O posicionamento do artefato decorre desses três pontos. O Benevente não é apresentado como gerador comprovado de alfa. Seu diferencial verificável é manter unidos os insumos, a regra, a explicação e a aprovação. O diagnóstico histórico serve para pressionar essa arquitetura e revelar erros, inclusive quando a correção piora o resultado publicado.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Wealth System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2250"/>
            <wp:docPr id="1" name="Picture 1" descr="Fluxo do Benevente: dados B3 e CVM passam por validação, seleção quantitativa, alocação e revisão humana; o modelo de linguagem apenas explica fatos aprovados; o dossiê reúne todo o registro." title="Arquitetura auditável do Benevente Wealth Syst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ech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</w:pPr>
      <w:r>
        <w:rPr>
          <w:rFonts w:ascii="Times New Roman" w:hAnsi="Times New Roman"/>
          <w:b/>
          <w:sz w:val="16"/>
        </w:rPr>
        <w:t>Figura 1</w:t>
      </w:r>
    </w:p>
    <w:p>
      <w:pPr>
        <w:keepNext/>
        <w:spacing w:after="60"/>
        <w:ind w:firstLine="0"/>
      </w:pPr>
      <w:r>
        <w:rPr>
          <w:rFonts w:ascii="Times New Roman" w:hAnsi="Times New Roman"/>
          <w:i/>
          <w:sz w:val="16"/>
        </w:rPr>
        <w:t>Arquitetura e separação de responsabilidades do artefato</w:t>
      </w:r>
    </w:p>
    <w:p>
      <w:pPr>
        <w:spacing w:line="240" w:lineRule="auto" w:after="160"/>
        <w:ind w:firstLine="0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As setas indicam o fluxo de dados. Não existe caminho do modelo de linguagem para alterar pesos ou aprovar ordens.</w:t>
      </w:r>
    </w:p>
    <w:p>
      <w:pPr>
        <w:pStyle w:val="Normal"/>
      </w:pPr>
      <w:r>
        <w:t>O fluxo da Figura 1 separa funções que costumam aparecer misturadas. Dados e fundamentos alimentam a validação. Somente os ativos aceitos seguem para o cálculo. O motor quantitativo devolve pesos válidos e custos estimados. A pessoa revisa a proposta antes da aprovação. O modelo de linguagem recebe apenas fatos já calculados e os converte em uma nota legível, sem caminho de retorno para alterar pesos. O dossiê registra cada uma dessas etapas.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A consequência é direta e mensurável. O painel construído cobre 514 emissores entre 2010 e 2025, dos quais 166 deixam de negociar antes de dezembro de 2025, 77 deles antes de 2020, e 58 já haviam perdido mais de 60% do próprio topo quando pararam de negociar. Um painel montado a partir de provedor público simplesmente não contém essas empresas. A diferença entre incluí-las e não incluí-las é a diferença entre medir a estratégia e medir a sorte de ter olhado só para os sobreviventes.</w:t>
      </w:r>
    </w:p>
    <w:p>
      <w:pPr>
        <w:pStyle w:val="Normal"/>
      </w:pPr>
      <w:r>
        <w:t>Preços deslistados exigem tratamento de eventos societários sem a ajuda do provedor. A primeira versão detectava razões de preço redondas e obteve precisão de 88,1%, mas recall de apenas 23,3% contra o arquivo de eventos disponível. Para retirar essa heurística da posição de fonte principal, uma nova rotina consultou diretamente os registros públicos da B3 e arquivou 18.190 dividendos, juros sobre capital próprio, desdobramentos, grupamentos, bonificações e eventos manuais. A consulta cobriu 475 de 497 ativos do painel. Vinte e dois códigos não foram devolvidos pela página atual e 271 eventos, entre eles 218 subscrições, ainda exigem resolução de direitos e conversões. A série publicada não foi requalificada: ela continua como dado de pesquisa até ser reconstruída desde o preço bruto, com cobertura integral e cada evento aplicado em relatório próprio.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ano, e sua cobertura é publicada em vez de suposta. Em 2012, primeiro ano da série, 266 de 314 ações tiveram ponte aceita e 171 tiveram fundamentos completos, porque a série do ITR começa em 2011 e 2012 é o primeiro ano em que a construção de doze meses tem os dois lados disponíveis.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ao escritório responder por que um papel conhecido não entrou, pergunta que aparece com a mesma frequência da inversa.</w:t>
      </w:r>
    </w:p>
    <w:p>
      <w:pPr>
        <w:pStyle w:val="Normal"/>
      </w:pPr>
      <w:r>
        <w:t>O foco econômico é uma análise fundamentalista multifatorial. Qualidade procura empresas capazes de remunerar o capital e sustentar a operação; valor procura um preço coerente com lucros, patrimônio ou geração de caixa; momento de doze meses funciona como confirmação de mercado e reduz a compra mecânica de uma empresa barata que continua deteriorando. Liquidez determina se a tese é executável. Bancos e empresas operacionais recebem métricas diferentes porque dívida e margem operacional não significam a mesma coisa nos dois balanços. O retorno histórico entra como fator complementar, não substitui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A configuração completa — família de fatores, número de posições e orçamento de ações — é escolhida anualmente pelo desempenho ajustado ao risco nos anos já encerrados. A otimização média-variância não define essa carteira. Ela é calculada de modo independente, sobre o mesmo universo elegível, para medir o que uma carteira puramente quantitativa de média e covariância teria produzido.</w:t>
      </w:r>
    </w:p>
    <w:p>
      <w:pPr>
        <w:pStyle w:val="Normal"/>
      </w:pPr>
      <w:r>
        <w:t>Essa separação também resolve a ambiguidade entre os nomes. Benevente Quant AI designa a pesquisa acadêmica, inclusive o experimento que combina um modelo de linguagem com um otimizador convexo. Benevente Wealth System designa o produto B2B de governança que entrega proposta, explicação e registro. A carteira histórica publicada é a regra multifatorial determinística. O modelo de linguagem não seleciona ativo e não escreve peso; seu papel é transformar fatos aprovados em tese, riscos e perguntas para revisão humana.</w:t>
      </w:r>
    </w:p>
    <w:p>
      <w:pPr>
        <w:pStyle w:val="Normal"/>
      </w:pPr>
      <w:r>
        <w:t>O método precisa ser compreensível sem reproduzir o código da aplicação. Primeiro, o sistema elimina ativos sem dados suficientes, sem liquidez compatível ou com lucro negativo. Depois, ordena os remanescentes por uma de quatro leituras: valor combinado a qualidade, valor combinado a qualidade e momento, somente momento ou baixa volatilidade. A versão multifatorial atribui 40% à qualidade, medida por retorno sobre o capital ou sobre o patrimônio, 40% ao lucro em relação ao preço e 20% ao comportamento do preço nos doze meses anteriores. Em seguida, escolhe uma cesta e distribui o orçamento de ações entre os melhores colocados. O saldo permanece no CDI.</w:t>
      </w:r>
    </w:p>
    <w:p>
      <w:pPr>
        <w:pStyle w:val="Normal"/>
      </w:pPr>
      <w:r>
        <w:t>Há três escolhas de orçamento de ações, 55%, 75% ou 95%, três tamanhos de cesta, 5, 8 ou 12 emissores, e quatro leituras de sinal. A combinação produz 36 políticas candidatas. O efeito de cada escolha é intuitivo: mais ações aumentam a exposição ao mercado; mais emissores reduzem a dependência de um papel; sinais distintos favorecem características diferentes. Em cada janeiro, somente os anos já encerrados podem ordenar essas políticas. O teto por emissor impede que a carteira pareça diversificada apenas no número de nomes. A configuração completa, a transformação de cada campo e os arquivos de entrada e saída recebem SHA-256 e permanecem disponíveis no pacote de reprodução.</w:t>
      </w:r>
    </w:p>
    <w:p>
      <w:pPr>
        <w:pStyle w:val="Heading2"/>
      </w:pPr>
      <w:r>
        <w:t>3.4 POR QUE A DECISÃO É ANUAL</w:t>
      </w:r>
    </w:p>
    <w:p>
      <w:pPr>
        <w:pStyle w:val="Normal"/>
      </w:pPr>
      <w:r>
        <w:t>A cadência anual é uma hipótese coerente com a natureza do sinal e, neste estudo, uma escolha empiricamente testada. Qualidade, retorno sobre capital, alavancagem e geração de caixa são grandezas divulgadas em ciclos contábeis e cuja tese econômica precisa de tempo para aparecer no preço. Uma troca mensal baseada nelas pode vender uma empresa antes que a melhora operacional seja reconhecida e aumenta o número de decisões que precisam ser justificadas. A revisão em janeiro também cria uma fronteira operacional simples: tudo o que foi publicado até a data pode entrar; tudo o que veio depois pertence ao próximo ciclo.</w:t>
      </w:r>
    </w:p>
    <w:p>
      <w:pPr>
        <w:pStyle w:val="Normal"/>
      </w:pPr>
      <w:r>
        <w:t>Anual não significa que o sistema ignora o risco durante doze meses. Preços, concentração, liquidez e eventos materiais podem ser monitorados continuamente, e uma política institucional pode prever um gatilho extraordinário. Significa apenas que a reseleção sistemática da cesta acontece uma vez por ano. No teste de robustez, mantendo regra e dados constantes, a reseleção anual superou as versões trimestral e mensal antes mesmo dos custos. Com apenas onze anos pareados, isso não prova que a frequência anual seja universalmente ótima; mostra que não houve evidência para substituir a regra mais simples nesta amostra.</w:t>
      </w:r>
    </w:p>
    <w:p>
      <w:pPr>
        <w:pStyle w:val="Normal"/>
      </w:pPr>
      <w:r>
        <w:t>Notícias não entram no modelo atual. Esse limite é intencional: um estudo com notícias exige arquivo histórico licenciado, horário de publicação, deduplicação e uma data de corte verificável para o modelo de linguagem. Misturar notícias retrospectivamente ao protocolo anual criaria uma nova oportunidade de usar informação futura. O estudo futuro adequado é um braço separado, pré-registrado, com revisão trimestral ou por evento e notícias carimbadas no tempo, comparado à regra anual sem alterar esta última.</w:t>
      </w:r>
    </w:p>
    <w:p>
      <w:pPr>
        <w:pStyle w:val="Heading2"/>
      </w:pPr>
      <w:r>
        <w:t>3.5 CUSTOS, IMPOSTO E EXECUÇÃO</w:t>
      </w:r>
    </w:p>
    <w:p>
      <w:pPr>
        <w:pStyle w:val="Normal"/>
      </w:pPr>
      <w:r>
        <w:t>Retorno bruto não é resultado. O sistema modela três parcelas.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relativo ao volume médio diário do papel. Uma ordem grande em papel ilíquido custa mais, como custa na prática.</w:t>
      </w:r>
    </w:p>
    <w:p>
      <w:pPr>
        <w:pStyle w:val="Normal"/>
        <w:ind w:firstLine="0"/>
        <w:numPr>
          <w:ilvl w:val="0"/>
          <w:numId w:val="1"/>
        </w:numPr>
      </w:pPr>
      <w:r>
        <w:t>Imposto de renda brasileiro, com 15% sobre ganho realizado em renda variável e 17,5% sobre renda fixa na faixa de 361 a 720 dias, cobrado no ano em que a revisão seguinte efetivamente realiza o ganho, e com liquidação integral assumida no último ano avaliado. Essa é a hipótese terminal conservadora, em vez de um diferimento indefinido que embelezaria a série.</w:t>
      </w:r>
    </w:p>
    <w:p>
      <w:pPr>
        <w:pStyle w:val="Normal"/>
      </w:pPr>
      <w:r>
        <w:t>O sistema recusa, por regra, ordens que ultrapassem 5% do volume médio diário do papel. A ordem falha em vez de ser enviada.</w:t>
      </w:r>
    </w:p>
    <w:p>
      <w:pPr>
        <w:pStyle w:val="Heading2"/>
      </w:pPr>
      <w:r>
        <w:t>3.6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ao perfil também são coerentes com a Resolução CVM nº 30, enquanto qualquer uso como consultoria individualizada depende da estrutura autorizada prevista na Resolução CVM nº 19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obrigatória. Nenhuma ordem é transmitida, nem pode ser, porque a arquitetura não tem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linguagem. O modelo organiza tese e riscos a partir de fatos já aprovados. Ele não define peso, não altera limite e não aprova ativo. Isso é uma restrição de arquitetura verificável, não uma promessa de conduta, e a Seção 5.5 mostra o experimento que testou o que aconteceria se ela fosse relaxada.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pós-operação.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versionados.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SEQUÊNCIA HISTÓRICA DE DESENVOLVIMENTO</w:t>
      </w:r>
    </w:p>
    <w:p>
      <w:pPr>
        <w:pStyle w:val="Normal"/>
      </w:pPr>
      <w:r>
        <w:t xml:space="preserve">O artefato admite múltiplas políticas, combinando orçamento de renda variável, número de posições e família de fatores. Publicar a melhor delas medida sobre toda a amostra seria exatamente o erro que a Seção 2 descreve. Na sequência histórica, para decidir a política do ano </w:t>
      </w:r>
      <w:r>
        <w:rPr>
          <w:i/>
        </w:rPr>
        <w:t>t</w:t>
      </w:r>
      <w:r>
        <w:t xml:space="preserve">, o sistema ordena as 36 candidatas usando somente os anos encerrados antes de </w:t>
      </w:r>
      <w:r>
        <w:rPr>
          <w:i/>
        </w:rPr>
        <w:t>t</w:t>
      </w:r>
      <w:r>
        <w:t>, pelo índice de Sharpe do excesso sobre o CDI, e adota a primeira colocada. Trocar de política é tratado como operação real e cobra rebalanceamento integral.</w:t>
      </w:r>
    </w:p>
    <w:p>
      <w:pPr>
        <w:pStyle w:val="Normal"/>
      </w:pPr>
      <w:r>
        <w:t>O ranqueamento exige no mínimo três anos encerrados. Como o painel começa em 2012, os anos de 2012 a 2014 inicializam a escolha e 2015 a 2025 formam onze decisões anuais. A ordem temporal reduz o uso direto do retorno futuro em cada decisão, mas não cria uma amostra verdadeiramente externa: os dados, filtros e hipóteses foram examinados durante o desenvolvimento do projeto. Por isso, esta janela é chamada de diagnóstico retrospectivo sequencial, e não de teste fora da amostra. O teste prospectivo começa apenas depois do congelamento descrito na Seção 4.5.</w:t>
      </w:r>
    </w:p>
    <w:p>
      <w:pPr>
        <w:pStyle w:val="Heading2"/>
      </w:pPr>
      <w:r>
        <w:t>4.2 COMPARADORES</w:t>
      </w:r>
    </w:p>
    <w:p>
      <w:pPr>
        <w:pStyle w:val="Normal"/>
      </w:pPr>
      <w:r>
        <w:t>Quatro referências foram calculadas de forma independente.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2026b).</w:t>
      </w:r>
    </w:p>
    <w:p>
      <w:pPr>
        <w:pStyle w:val="Normal"/>
        <w:ind w:firstLine="0"/>
        <w:numPr>
          <w:ilvl w:val="0"/>
          <w:numId w:val="1"/>
        </w:numPr>
      </w:pPr>
      <w:r>
        <w:t>BOVA11, ETF negociável que busca acompanhar o Ibovespa e permite observar uma implementação passiva sujeita a taxa, custos de negociação e diferença de aderência (BlackRock, 2026).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sobre o mesmo universo elegível. Esse método estima retorno médio e covariância com dados anteriores e escolhe pesos que maximizam a relação entre retorno esperado e risco sob os mesmos limites de elegibilidade.</w:t>
      </w:r>
    </w:p>
    <w:p>
      <w:pPr>
        <w:pStyle w:val="Normal"/>
      </w:pPr>
      <w:r>
        <w:t>Esse último merece nota. Em uma versão anterior do sistema, a série rotulada como MVO de referência era numericamente idêntica à estratégia em todos os anos, ou seja, a estratégia estava sendo comparada a si mesma. O defeito foi encontrado na auditoria interna, corrigido com uma implementação independente, e o comparador passou a produzir resultados distintos, inclusive desfavoráveis à estratégia em um dos onze anos.</w:t>
      </w:r>
    </w:p>
    <w:p>
      <w:pPr>
        <w:pStyle w:val="Normal"/>
      </w:pPr>
      <w:r>
        <w:t>Ibovespa e BOVA11 não são duplicatas. O primeiro mede o retorno total de uma carteira teórica e estabelece a referência econômica do mercado. O segundo representa um caminho efetivamente negociável para buscar essa exposição. A pequena diferença entre as duas séries é informativa, pois reúne taxa, fricções operacionais e erro de aderência.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retrospectiva, que é a diferença entre o CAGR da configuração que teria vencido a amostra inteira, escolha impossível na prática porque usa os anos sobre os quais é medida, e o CAGR da escolha aninhada. Esse número quantifica exatamente o que um concorrente ganharia publicando o vencedor da busca como se fosse resultado obtenível.</w:t>
      </w:r>
    </w:p>
    <w:p>
      <w:pPr>
        <w:pStyle w:val="Heading2"/>
      </w:pPr>
      <w:r>
        <w:t>4.4 AUDITORIA DA QUALIDADE DOS DADOS E SENSIBILIDADE</w:t>
      </w:r>
    </w:p>
    <w:p>
      <w:pPr>
        <w:pStyle w:val="Normal"/>
      </w:pPr>
      <w:r>
        <w:t>A reconstrução de retorno total combina 497 séries. Em 139 delas, a distribuição de proventos precisou ser imputada porque não havia cobertura integral do provedor. Uma contagem por ticker seria insuficiente, pois uma série problemática pode nunca entrar na carteira. A auditoria cruzou, por ano, a política realmente escolhida, os pesos dos ativos e o tipo de reconstrução de cada série. A medida principal é a parcela da exposição acumulada a ações que dependeu de provento imputado.</w:t>
      </w:r>
    </w:p>
    <w:p>
      <w:pPr>
        <w:pStyle w:val="Normal"/>
      </w:pPr>
      <w:r>
        <w:t>Dois testes de sensibilidade complementam essa inspeção. O primeiro reamostra, em conjunto, os vetores anuais completos de retorno da estratégia e de cada comparador. Foram produzidas 100 mil amostras com semente registrada. O pareamento conserva a relação observada em cada ano e mede estabilidade interna, mas não cria crises novas nem corrige a fonte. O segundo aplica perdas hipotéticas de 10, 25, 50 e 100 pontos percentuais somente à parcela anual investida em séries imputadas. O objetivo é mostrar quanto o resultado depende dessa hipótese, e não adivinhar qual teria sido o provento correto.</w:t>
      </w:r>
    </w:p>
    <w:p>
      <w:pPr>
        <w:pStyle w:val="Heading2"/>
      </w:pPr>
      <w:r>
        <w:t>4.5 REGISTRO PROSPECTIVO</w:t>
      </w:r>
    </w:p>
    <w:p>
      <w:pPr>
        <w:pStyle w:val="Normal"/>
      </w:pPr>
      <w:r>
        <w:t>O protocolo prospectivo foi congelado em 16 de agosto de 2026, com hash e data registrados no repositório. A política precisa superar, após imposto, o CDI e o ETF investível de mercado, manter queda máxima inferior a 35% e acumular pelo menos três anos antes de uma conclusão. Não existe resultado prospectivo suficiente na data deste artigo. Essa ausência é um resultado de estágio do projeto, não uma lacuna a preencher com o histórico. A regra registrada não poderá ser alterada depois de observado um ano desfavorável sem que a mudança constitua um novo protocolo e uma nova contagem.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FUNCIONAMENTO E DIAGNÓSTICO FINANCEIRO</w:t>
      </w:r>
    </w:p>
    <w:p>
      <w:pPr>
        <w:pStyle w:val="Normal"/>
      </w:pPr>
      <w:r>
        <w:t>O artefato produziu, para cada decisão anual, um registro com fontes, hashes, elegibilidade, ranking, pesos, custos estimados, comparadores e justificativa. Os testes de integridade recusaram arquivos alterados, pesos que não somavam 100%, ordens acima do limite de liquidez e fundamentos recebidos depois da decisão. A auditoria adversarial descrita na Seção 5.7 encontrou sete defeitos no próprio processo de pesquisa. Corrigi-los mudou as métricas, o que demonstra que o registro é capaz de contestar o resultado que o sistema produz.</w:t>
      </w:r>
    </w:p>
    <w:p>
      <w:pPr>
        <w:pStyle w:val="Normal"/>
      </w:pPr>
      <w:r>
        <w:t>A Tabela 2 apresenta o diagnóstico financeiro de onze decisões, de 2015 a 2025, líquido de custos estimados. Ele descreve o comportamento do protótipo durante o desenvolvimento. Não é validação prospectiva nem demonstração de que a carteira repetirá o desempenho.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Diagnóstico retrospectivo da carteira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332"/>
        <w:gridCol w:w="1615"/>
        <w:gridCol w:w="2243"/>
        <w:gridCol w:w="1166"/>
        <w:gridCol w:w="1704"/>
      </w:tblGrid>
      <w:tr>
        <w:trPr>
          <w:cantSplit/>
          <w:tblHeader w:val="true"/>
        </w:trPr>
        <w:tc>
          <w:tcPr>
            <w:tcW w:type="dxa" w:w="233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61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22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 final de R$ 100 mil</w:t>
            </w:r>
          </w:p>
        </w:tc>
        <w:tc>
          <w:tcPr>
            <w:tcW w:type="dxa" w:w="116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170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3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Benevente 1</w:t>
            </w:r>
          </w:p>
        </w:tc>
        <w:tc>
          <w:tcPr>
            <w:tcW w:type="dxa" w:w="161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2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16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3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Benevente, após IR</w:t>
            </w:r>
          </w:p>
        </w:tc>
        <w:tc>
          <w:tcPr>
            <w:tcW w:type="dxa" w:w="161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22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16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3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61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22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16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70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3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BOVA11 (ETF investível)</w:t>
            </w:r>
          </w:p>
        </w:tc>
        <w:tc>
          <w:tcPr>
            <w:tcW w:type="dxa" w:w="161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11,72%</w:t>
            </w:r>
          </w:p>
        </w:tc>
        <w:tc>
          <w:tcPr>
            <w:tcW w:type="dxa" w:w="22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R$ 338.545</w:t>
            </w:r>
          </w:p>
        </w:tc>
        <w:tc>
          <w:tcPr>
            <w:tcW w:type="dxa" w:w="116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70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−47,2%</w:t>
            </w:r>
          </w:p>
        </w:tc>
      </w:tr>
      <w:tr>
        <w:trPr>
          <w:cantSplit/>
        </w:trPr>
        <w:tc>
          <w:tcPr>
            <w:tcW w:type="dxa" w:w="23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61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22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16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170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33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161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22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16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170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coluna em reais traduz a taxa anualizada em escala econômica. Sob as hipóteses do diagnóstico, R$ 100 mil teriam terminado em R$ 609.832 na carteira, R$ 340.068 no Ibovespa e R$ 274.368 no CDI. Esses valores dependem da qualidade da série reconstruída e devem ser lidos junto com a Seção 5.2.</w:t>
      </w:r>
    </w:p>
    <w:p>
      <w:pPr>
        <w:pStyle w:val="Normal"/>
      </w:pPr>
      <w:r>
        <w:t>Em janelas móveis, contra o CDI a carteira vence 8 de 9 janelas de três anos, 6 de 7 de cinco anos e 2 de 2 de dez anos. Contra a otimização de referência, vence todas as janelas de três, cinco e dez anos. Essas contagens não são observações independentes: as nove janelas de três anos contêm apenas três blocos sem sobreposição, e as de dez anos contêm apenas um. Elas descrevem a amostra, mas não aumentam artificialmente seu tamanho.</w:t>
      </w:r>
    </w:p>
    <w:p>
      <w:pPr>
        <w:pStyle w:val="Normal"/>
      </w:pPr>
      <w:r>
        <w:t>O retorno veio acompanhado de risco elevado. A queda máxima diária chegou a 47,8%, praticamente igual à do Ibovespa, 47,0%, e à do BOVA11, 47,2%. Entre 2018 e 2021, a política selecionada manteve 95% em ações e concentrou essa parcela em cinco ou seis emissores. O sistema não antecipou a Covid-19 e não protegeu o capital durante a queda. A carteira sofreu quase todo o recuo do mercado e recuperou-se depois. Portanto, o resultado é incompatível com a promessa de perfil conservador e não pode ser vendido como proteção de crise.</w:t>
      </w:r>
    </w:p>
    <w:p>
      <w:pPr>
        <w:pStyle w:val="Heading2"/>
      </w:pPr>
      <w:r>
        <w:t>5.2 QUALIDADE DOS DADOS E DEPENDÊNCIA DE IMPUTAÇÃO</w:t>
      </w:r>
    </w:p>
    <w:p>
      <w:pPr>
        <w:pStyle w:val="Normal"/>
      </w:pPr>
      <w:r>
        <w:t>O painel contém 139 séries com proventos imputados, mas a carteira não as utilizou de modo uniforme. Somando somente a parcela de ações escolhida em cada ano, 13,9% da exposição acumulada dependeu de imputação. O caso mais relevante ocorreu em 2020: AZUL4 e MRFG3 representaram 50% da carteira total. Em cinco dos onze anos houve alguma exposição; nos demais, nenhuma série escolhida dependia desse procedimento.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Exposição anual a séries com proventos imputados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272"/>
        <w:gridCol w:w="4768"/>
        <w:gridCol w:w="3020"/>
      </w:tblGrid>
      <w:tr>
        <w:trPr>
          <w:cantSplit/>
          <w:tblHeader w:val="true"/>
        </w:trPr>
        <w:tc>
          <w:tcPr>
            <w:tcW w:type="dxa" w:w="12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</w:t>
            </w:r>
          </w:p>
        </w:tc>
        <w:tc>
          <w:tcPr>
            <w:tcW w:type="dxa" w:w="4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Peso total em séries imputadas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Séries selecionadas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2015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CIEL3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2016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24,0%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ENBR3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2020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50,0%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AZUL4 e 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2021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25,0%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4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5,0%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STBP3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Aplicar uma perda adicional de 10 pontos percentuais apenas à parcela imputada reduz o retorno anualizado da carteira de 17,86% para 16,78%. Com 25 pontos, ele cai para 15,11%; com 50, para 12,16%; e com 100, para 5,41%. A carteira deixa de superar o Ibovespa quando a penalização nessa parcela chega a aproximadamente 53 pontos percentuais e deixa de superar o CDI perto de 70 pontos. O teste mostra alguma margem econômica, mas não repara o dado. Como metade da carteira de 2020 dependeu de séries imputadas, o retorno histórico deve permanecer diagnóstico até a reconciliação dos eventos e proventos em fonte primária.</w:t>
      </w:r>
    </w:p>
    <w:p>
      <w:pPr>
        <w:pStyle w:val="Heading2"/>
      </w:pPr>
      <w:r>
        <w:t>5.3 INCERTEZA DA AMOSTRA</w:t>
      </w:r>
    </w:p>
    <w:p>
      <w:pPr>
        <w:pStyle w:val="Normal"/>
      </w:pPr>
      <w:r>
        <w:t>A reamostragem pareada preserva, em cada sorteio, o mesmo ano da estratégia e dos comparadores. Em 100 mil amostras, a probabilidade interna de excesso positivo foi alta, mas o intervalo de 95% ainda cruzou zero contra CDI, Ibovespa e BOVA11. Somente a comparação com a implementação específica de MVO permaneceu positiva em todo o intervalo. Isso não autoriza concluir que o Benevente supera esses referenciais na população; mostra apenas que a ordenação observada não dependeu de um único ano sorteado repetidamente.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Incerteza do excesso de retorno em reamostragem pareada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639"/>
        <w:gridCol w:w="2795"/>
        <w:gridCol w:w="2795"/>
        <w:gridCol w:w="1831"/>
      </w:tblGrid>
      <w:tr>
        <w:trPr>
          <w:cantSplit/>
          <w:tblHeader w:val="true"/>
        </w:trPr>
        <w:tc>
          <w:tcPr>
            <w:tcW w:type="dxa" w:w="163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Comparador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Amostras com excesso positivo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Mediana do excesso anualizado</w:t>
            </w:r>
          </w:p>
        </w:tc>
        <w:tc>
          <w:tcPr>
            <w:tcW w:type="dxa" w:w="183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Intervalo de 95%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93,4%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+8,19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−2,27 a +20,01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de referência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100,0%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+10,06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+4,73 a +15,29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+5,94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−1,31 a +14,28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BOVA11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94,3%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+5,98 p.p.</w:t>
            </w:r>
          </w:p>
        </w:tc>
        <w:tc>
          <w:tcPr>
            <w:tcW w:type="dxa" w:w="183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−1,34 a +14,41 p.p.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limite do procedimento é importante. Reamostrar onze anos não cria um mercado de baixa prolongado que não esteja na série, não produz novas trajetórias de inflação e juros e não transforma desenvolvimento em validação externa. A informação correta é que há estabilidade interna suficiente para continuar o teste prospectivo, não que a superioridade esteja comprovada.</w:t>
      </w:r>
    </w:p>
    <w:p>
      <w:pPr>
        <w:pStyle w:val="Heading2"/>
      </w:pPr>
      <w:r>
        <w:t>5.4 CORREÇÃO POR MÚLTIPLAS TENTATIVAS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diz que escolher a política vencedora conhecendo toda a amostra teria rendido 0,65 ponto percentual a mais por ano do que a escolha sequencial. Em uma versão anterior, com um ano a menos de histórico inicial, esse prêmio era de 4,98 pontos. Ampliar a base reduziu a parcela do retorno explicada pela escolha posterior da regra. O Sharpe deflacionado também corrige múltiplas tentativas, mas não resolve a dependência de dados nem a ausência de teste prospectivo. Ele é uma defesa contra uma forma específica de sobreajuste, não um certificado geral de validade.</w:t>
      </w:r>
    </w:p>
    <w:p>
      <w:pPr>
        <w:pStyle w:val="Heading2"/>
      </w:pPr>
      <w:r>
        <w:t>5.5 O QUE NÃO FUNCIONOU</w:t>
      </w:r>
    </w:p>
    <w:p>
      <w:pPr>
        <w:pStyle w:val="Normal"/>
      </w:pPr>
      <w:r>
        <w:t>Cinco hipóteses foram testadas e nenhuma se sustentou de forma suficiente para substituir a política principal. Elas são publicadas porque um artefato que só reporta o que deu certo não é auditável.</w:t>
      </w:r>
    </w:p>
    <w:p>
      <w:pPr>
        <w:pStyle w:val="Normal"/>
      </w:pPr>
      <w:r>
        <w:t>Previsão anual de regime. Testamos se indicadores disponíveis em janeiro, entre prêmio de lucro sobre o CDI, nível do CDI, retorno e volatilidade do mercado nos doze meses anteriores e distância do topo, anteciparam se o ano seria de ações ou de caixa. Sobre 8 anos, o melhor preditor acertou 3 de 4 chamadas efetivas, com p de 0,31 contra cara-ou-coroa. Um acerto de 75% em quatro tentativas não distingue habilidade de sorte. O prêmio disponível para quem acertasse todas as chamadas era de 6,5 pontos percentuais ao ano, e permanece inalcançável. Sem sinal.</w:t>
      </w:r>
    </w:p>
    <w:p>
      <w:pPr>
        <w:pStyle w:val="Normal"/>
      </w:pPr>
      <w:r>
        <w:t>Realocação mensal e semanal. Em 118 períodos mensais e 521 semanais, nenhuma das sete regras contínuas superou de forma significativa o peso estático. A regra de média-variância foi significativamente pior. O prêmio por acertar o tempo existe, mas nenhum sinal testado o capturou.</w:t>
      </w:r>
    </w:p>
    <w:p>
      <w:pPr>
        <w:pStyle w:val="Normal"/>
      </w:pPr>
      <w:r>
        <w:t>Reseleção mais frequente da cesta. A objeção seguinte é diferente da anterior e precisa ser separada dela: não se a proporção entre ações e caixa deve mudar mais vezes, que é o que o parágrafo acima rejeita, mas se a própria cesta deveria ser retriada, reordenada e reotimizada mais vezes por ano. Testamos três cadências com a mesma regra, os mesmos limites e o mesmo painel, variando apenas as datas de decisão.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anual. Pareando por ano-calendário, a trimestral fica 1,55 ponto percentual abaixo ao ano após imposto, com p de 0,376, e a mensal 3,27 pontos abaixo, com p de 0,306. A leitura correta é que não há evidência de que decidir mais vezes ajude, e não que esteja provado que atrapalhe: onze anos pareados não sustentam a afirmação mais forte.</w:t>
      </w:r>
    </w:p>
    <w:p>
      <w:pPr>
        <w:pStyle w:val="Normal"/>
      </w:pPr>
      <w:r>
        <w:t>A diferença surgiu antes dos custos: o retorno bruto caiu 4,66 pontos da cadência anual para a mensal. O sinal combina qualidade, valor e momento, grandezas de maturação lenta. O modelo tributário subestima o imposto do braço mensal ao não acompanhar o lote vendido; esse viés favorece a alternativa que mesmo assim não venceu.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Normal"/>
      </w:pPr>
      <w:r>
        <w:t>Proteção intranual concebida depois da Covid-19. O Benevente 2 reduz a exposição após estresse de queda e volatilidade do Ibovespa. No histórico, a queda máxima recuou de 47,8% para 28,7%, sem diferença detectável de retorno entre 2019 e 2025 (p = 0,964). Por perfil, a proteção reduziu a queda de 18,9% para 9,9% no conservador, de 28,1% para 17,9% no equilibrado e de 37,6% para 29,3% no arrojado, com pequena redução do CAGR. Em 5.000 reamostragens de blocos, o percentil adverso de 2,5% chegou a 14,2%, 27,7% e 49,1%. A regra foi registrada em 20 de agosto de 2026 para acompanhamento em 2027. Ela permanece retrospectiva, sem imposto intranual, e não integra o resultado principal.</w:t>
      </w:r>
    </w:p>
    <w:p>
      <w:pPr>
        <w:pStyle w:val="Heading2"/>
      </w:pPr>
      <w:r>
        <w:t>5.6 O EXPERIMENTO COM MODELO DE LINGUAGEM: TRÊS RESULTADOS NULOS</w:t>
      </w:r>
    </w:p>
    <w:p>
      <w:pPr>
        <w:pStyle w:val="Normal"/>
      </w:pPr>
      <w:r>
        <w:t>O sistema usa um modelo de linguagem em papel deliberadamente restrito. Para verificar se essa restrição custa desempenho e se o modelo agrega algo, foram comparadas quatro versões sobre 13 anos, com o mesmo universo elegível.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as empresas são identificadas apenas por números, de modo que o modelo vê os fundamentos e não as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 algum,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e sem restrições.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resultados estatísticos não permitem rejeitar a hipótese de ausência de diferença, e cada um responde a uma pergunta diferente.</w:t>
      </w:r>
    </w:p>
    <w:p>
      <w:pPr>
        <w:pStyle w:val="Normal"/>
        <w:ind w:firstLine="0"/>
        <w:numPr>
          <w:ilvl w:val="0"/>
          <w:numId w:val="5"/>
        </w:numPr>
      </w:pPr>
      <w:r>
        <w:t>Não houve diferença detectável entre identificar as empresas pelo nome e ocultar sua identidade. A amostra pequena, porém, não prova ausência de contaminação.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agregou retorno. O braço anonimizado ficou 0,05 ponto percentual abaixo do controle determinístico, com p = 0,989.</w:t>
      </w:r>
    </w:p>
    <w:p>
      <w:pPr>
        <w:pStyle w:val="Normal"/>
        <w:ind w:firstLine="0"/>
        <w:numPr>
          <w:ilvl w:val="0"/>
          <w:numId w:val="5"/>
        </w:numPr>
      </w:pPr>
      <w:r>
        <w:t>Manter o modelo longe dos pesos não penalizou o resultado. Quando recebeu essa função, ele produziu vetores que não somavam 100% em 5 dos 13 anos e omitiu dezenas de ativos elegíveis sem sinalizar. O otimizador garante uma alocação válida antes da explicação.</w:t>
      </w:r>
    </w:p>
    <w:p>
      <w:pPr>
        <w:pStyle w:val="Normal"/>
      </w:pPr>
      <w:r>
        <w:t>A conclusão de produto é direta. O modelo de linguagem justifica-se no Benevente por organizar e explicar decisões, não por gerá-las. Vender IA como fonte de alfa, com base nestes dados, seria vender algo que medimos e não encontramos.</w:t>
      </w:r>
    </w:p>
    <w:p>
      <w:pPr>
        <w:pStyle w:val="Heading2"/>
      </w:pPr>
      <w:r>
        <w:t>5.7 DEFEITOS ENCONTRADOS NA PRÓPRIA AUDITORIA</w:t>
      </w:r>
    </w:p>
    <w:p>
      <w:pPr>
        <w:pStyle w:val="Normal"/>
      </w:pPr>
      <w:r>
        <w:t>O artefato passou por auditoria interna adversarial. Sete defeitos foram encontrados e corrigidos, e todos inflavam o resultado.</w:t>
      </w:r>
    </w:p>
    <w:p>
      <w:pPr>
        <w:keepNext/>
        <w:spacing w:after="0"/>
      </w:pPr>
      <w:r>
        <w:rPr>
          <w:b/>
        </w:rPr>
        <w:t>Tabela 8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retorno anualizado publicado caiu e a queda máxima subiu de 30,4% para 47,8%. Essa mudança é uma evidência de funcionamento do processo de controle: a auditoria foi capaz de piorar a narrativa quando os dados assim exigiram. Ela não prova que todos os defeitos foram encontrados.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escritórios de investimento, consultorias de valores mobiliários, gestores patrimoniais e escritórios multifamiliares. Para a instituição, o Benevente transforma a documentação em consequência do próprio trabalho: a política aplicada, os dados e seus hashes, a elegibilidade, os pesos, as ordens, o custo estimado e a aprovação permanecem ligados à mesma decisão. Para o profissional, isso reduz o tempo gasto reconstruindo uma recomendação. Para o cliente, permite responder tanto por que um papel entrou quanto por que outro ficou de fora.</w:t>
      </w:r>
    </w:p>
    <w:p>
      <w:pPr>
        <w:pStyle w:val="Normal"/>
      </w:pPr>
      <w:r>
        <w:t>O benefício comercial não deve ser apresentado como promessa de superar o mercado. O valor a testar está na consistência do processo, na comparação explícita com alternativas e na capacidade de revisão. O retorno continua sendo medido, acompanhado e discutido, sem se tornar garantia ou substituto da adequação ao perfil do cliente.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pela política da instituição. Depois de escolher o perfil e aceitar seus limites, o usuário vê quais arquivos e demonstrações estavam disponíveis e quais passaram na validação. A triagem mostra aprovados e reprovados com o respectivo motivo. A carteira candidata apresenta pesos, parcela defensiva, custo e comparação com CDI, Ibovespa, BOVA11 e MVO. Em seguida, o profissional revisa a tese em linguagem natural, registra riscos, aprova ou rejeita a proposta e informa a justificativa. O dossiê final reúne esse percurso e a versão da regra. Laboratório e documento de decisão são, portanto, duas vistas do mesmo registro, e não etapas desconectadas.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Uma implantação mínima pode ser dividida em três etapas. Na preparação, a instituição define fontes, políticas, perfis de acesso e responsáveis por aprovação. No piloto, o sistema acompanha uma política e um grupo pequeno de carteiras sem enviar ordens, enquanto o escritório confronta os dossiês com o processo que já utiliza. Na operação assistida, a conciliação de custos e posições passa a fechar o ciclo entre proposta e execução. Integração com corretora, custódia, identidade corporativa e arquivo documental pertence a essa última etapa e não precisa bloquear o teste inicial.</w:t>
      </w:r>
    </w:p>
    <w:p>
      <w:pPr>
        <w:pStyle w:val="Normal"/>
      </w:pPr>
      <w:r>
        <w:t>A oferta a validar combina licença institucional e implantação. O piloto deve medir tempo de produção, completude da evidência, revisões, diferença entre custo estimado e executado e disposição a pagar. Um teste no Espírito Santo atende ao recorte do congresso, mas não permite presumir retenção de capital ou geração de negócios no estado. Esse efeito exigiria pesquisa econômica própria.</w:t>
      </w:r>
    </w:p>
    <w:p>
      <w:pPr>
        <w:pStyle w:val="Normal"/>
      </w:pPr>
      <w:r>
        <w:t>O produto permanece em estágio de protótipo reprodutível. A janela de 2015 a 2025 foi usada no desenvolvimento e descreve a amostra, não o futuro. A avaliação prospectiva começa no registro congelado, cujo hash foi versionado e recebeu data carimbada por terceiro. Essa separação entre diagnóstico e acompanhamento futuro é parte do produto, não apenas uma ressalva acadêmica.</w:t>
      </w:r>
    </w:p>
    <w:p>
      <w:pPr>
        <w:pStyle w:val="Heading2"/>
      </w:pPr>
      <w:r>
        <w:t>6.4 MATRIZ DE EVIDÊNCIAS</w:t>
      </w:r>
    </w:p>
    <w:p>
      <w:pPr>
        <w:pStyle w:val="Normal"/>
      </w:pPr>
      <w:r>
        <w:t>A Tabela 9 delimita o que pode ser afirmado na data da submissão. Ela também serve como contrato de comunicação para a demonstração do produto.</w:t>
      </w:r>
    </w:p>
    <w:p>
      <w:pPr>
        <w:keepNext/>
        <w:spacing w:after="0"/>
      </w:pPr>
      <w:r>
        <w:rPr>
          <w:b/>
        </w:rPr>
        <w:t>Tabela 9</w:t>
      </w:r>
    </w:p>
    <w:p>
      <w:pPr>
        <w:keepNext/>
        <w:spacing w:after="80"/>
      </w:pPr>
      <w:r>
        <w:rPr>
          <w:i/>
        </w:rPr>
        <w:t>Matriz de afirmações, evidências e situação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143"/>
        <w:gridCol w:w="3143"/>
        <w:gridCol w:w="2774"/>
      </w:tblGrid>
      <w:tr>
        <w:trPr>
          <w:cantSplit/>
          <w:tblHeader w:val="true"/>
        </w:trPr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Afirmação</w:t>
            </w:r>
          </w:p>
        </w:tc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Evidência disponível</w:t>
            </w:r>
          </w:p>
        </w:tc>
        <w:tc>
          <w:tcPr>
            <w:tcW w:type="dxa" w:w="277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Situação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artefato preserva dados, regra, pesos e aprovação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Testes funcionais, hashes e dossiês reproduzíveis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protótipo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auditoria encontra erros que alteram métricas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Sete defeitos reproduzidos e corrigidos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desenvolvimento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superou comparadores entre 2015 e 2025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Diagnóstico sequencial e reamostragem interna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Observada, não prospectiva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série histórica tem qualidade institucional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13,9% da exposição a ações dependeu de imputação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modelo de linguagem gera retorno adicional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Diferença de −0,05 p.p. e p = 0,989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Há demanda e disposição a pagar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Piloto ainda não executado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funciona em dados futuros</w:t>
            </w:r>
          </w:p>
        </w:tc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Registro de 16/08/2026, mínimo de três anos</w:t>
            </w:r>
          </w:p>
        </w:tc>
        <w:tc>
          <w:tcPr>
            <w:tcW w:type="dxa" w:w="277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Em acompanhamento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temporal. Onze decisões anuais são poucas, e a janela avaliada também serviu ao desenvolvimento. O prêmio de retrospectiva de 0,65 ponto percentual e o Sharpe deflacionado tratam parte do risco de múltiplas tentativas, mas não equivalem a validação prospectiva. A reamostragem também não cria regimes que a história não contém.</w:t>
      </w:r>
    </w:p>
    <w:p>
      <w:pPr>
        <w:pStyle w:val="Normal"/>
      </w:pPr>
      <w:r>
        <w:t>A segunda limitação está nos dados. A coleta primária avançou para 18.190 eventos e 95,6% dos ativos do painel, mas 22 códigos e 271 eventos manuais ainda bloqueiam a reconciliação integral. Papéis sem cobertura completa recebem, em casos identificados, uma distribuição imputada pela mediana transversal do ano. Essa fragilidade atingiu 13,9% da exposição acumulada a ações e 50% da carteira total em 2020. O novo arquivo melhora a auditabilidade, mas o resultado só poderá ser recalculado e comparado quando o preço bruto, o evento e a conversão estiverem ligados sem lacunas.</w:t>
      </w:r>
    </w:p>
    <w:p>
      <w:pPr>
        <w:pStyle w:val="Normal"/>
      </w:pPr>
      <w:r>
        <w:t>A terceira é econômica. A queda máxima diária chegou a 47,8%, nível incompatível com um perfil conservador e ligeiramente pior que os 47,0% do Ibovespa. O protótipo não demonstrou proteção de capital. A extensão de controle de risco concebida depois da Covid-19 é retrospectiva, não tem imposto intranual conciliado e não demonstrou retorno adicional.</w:t>
      </w:r>
    </w:p>
    <w:p>
      <w:pPr>
        <w:pStyle w:val="Normal"/>
      </w:pPr>
      <w:r>
        <w:t>Por fim, o produto não elimina responsabilidade profissional. Uso comercial exige enquadramento regulatório, política de suitability, segurança, contrato de fontes e aprovação humana. O modelo de linguagem não antecipou a Covid-19, não seleciona ativos e não define pesos. Notícias também não entram no protocolo atual porque não há, neste experimento, um arquivo histórico com horário de publicação e corte verificável.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depois do registro congelado. Em paralelo, a pesquisa deve completar os 22 códigos e resolver os 271 eventos manuais antes de reconstruir o retorno. A reamostragem em blocos já mede dependência serial curta; testes seguintes devem acrescentar trajetórias sintéticas com regimes de baixa prolongada que não estejam limitadas à ordem histórica. Simulação não substitui observação futura. Um estudo com notícias deve ser registrado como braço separado, com frequência trimestral ou orientada a eventos e horário verificável. O passo de produto é um piloto silencioso, sem execução automática, capaz de medir tempo, completude documental, divergência de custos, compreensão do usuário e disposição a pagar.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Wealth System foi construído para resolver uma falha operacional específica: carteiras são propostas em um momento e justificadas em outro, enquanto os dados, a regra e a aprovação podem se separar. O protótipo mostrou que é possível produzir a alocação e a evidência da decisão no mesmo fluxo, com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No diagnóstico de 2015 a 2025, a carteira apresentou retorno anualizado superior aos comparadores e queda máxima semelhante à do mercado. A incerteza da amostra e a dependência parcial de séries imputadas impedem tratar essa diferença como superioridade comprovada. Os testes negativos são informativos: a frequência anual não perdeu para reseleções mais rápidas, o modelo de linguagem não acrescentou retorno e a alocação direta por texto produziu carteiras aritmeticamente inconsistentes em parte dos anos. Esses achados justificam um sistema em que a matemática calcula a alocação, a linguagem ajuda a compreendê-la e uma pessoa conserva a responsabilidade final.</w:t>
      </w:r>
    </w:p>
    <w:p>
      <w:pPr>
        <w:pStyle w:val="Normal"/>
      </w:pPr>
      <w:r>
        <w:t>A conclusão comprovada é mais estreita e mais defensável que a versão anterior do artigo: o artefato cria uma cadeia auditável e usa essa cadeia para descobrir erros que mudam o próprio resultado. A viabilidade comercial será confirmada somente se um piloto mostrar ganho de tempo, completude documental, compreensão e disposição a pagar. A validade financeira exigirá completar a reconciliação primária e acumular dados posteriores ao registro; a política de risco começa sua amostra confirmatória em 2027. Até lá, o desempenho histórico permanece diagnóstico de desenvolvimento.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O código de reprodução, os testes, os manifestos criptográficos e os arquivos que sustentam os resultados estão disponíveis no repositório público do projeto, em https://github.com/diegogallina1/benevente. A demonstração web do artefato está disponível em https://benevente-wealth-system.vercel.app/. O repositório identifica as fontes, as limitações de cobertura e os comandos necessários para reproduzir as avaliações.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 Wealth System. (2026). </w:t>
      </w:r>
      <w:r>
        <w:rPr>
          <w:i/>
        </w:rPr>
        <w:t>Documentação técnica, repositório de dados e validação de horizontes</w:t>
      </w:r>
      <w:r>
        <w:t>. https://github.com/diegogallina1/benevente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BlackRock. (2026). </w:t>
      </w:r>
      <w:r>
        <w:rPr>
          <w:i/>
        </w:rPr>
        <w:t>iShares Ibovespa Fundo de Índice (BOVA11): factsheet</w:t>
      </w:r>
      <w:r>
        <w:t>. https://www.blackrock.com/br/literature/fact-sheet/bova11-ishares-ibovespa-fundo-de-ndice-fund-fact-sheet-pt-lm.pdf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Harvey, C. R., Liu, Y., &amp; Zhu, H. (2016). … and the cross-section of expected returns. </w:t>
      </w:r>
      <w:r>
        <w:rPr>
          <w:i/>
        </w:rPr>
        <w:t>Review of Financial Studies, 29</w:t>
      </w:r>
      <w:r>
        <w:t>(1), 5–68. https://doi.org/10.1093/rfs/hhv059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8"/>
        <w:tab w:val="left" w:pos="5685" w:leader="none"/>
        <w:tab w:val="right" w:pos="9070" w:leader="none"/>
      </w:tabs>
      <w:rPr/>
    </w:pPr>
    <w:r>
      <w:drawing>
        <wp:anchor behindDoc="1" distT="0" distB="0" distL="114935" distR="114935" simplePos="0" locked="0" layoutInCell="1" allowOverlap="1" relativeHeight="7">
          <wp:simplePos x="0" y="0"/>
          <wp:positionH relativeFrom="column">
            <wp:posOffset>2168525</wp:posOffset>
          </wp:positionH>
          <wp:positionV relativeFrom="paragraph">
            <wp:posOffset>-638175</wp:posOffset>
          </wp:positionV>
          <wp:extent cx="1558925" cy="1131570"/>
          <wp:effectExtent l="0" t="0" r="0" b="0"/>
          <wp:wrapNone/>
          <wp:docPr id="2" name="Image1" descr="Logotipo da Fucape Business School" title="Logotipo da Fucape Business Scho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1175" t="-33" r="48994" b="-33"/>
                  <a:stretch>
                    <a:fillRect/>
                  </a:stretch>
                </pic:blipFill>
                <pic:spPr bwMode="auto">
                  <a:xfrm>
                    <a:off x="0" y="0"/>
                    <a:ext cx="1558925" cy="1131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Arial" w:ascii="Arial" w:hAnsi="Arial"/>
        <w:b/>
        <w:sz w:val="16"/>
      </w:rPr>
      <w:tab/>
      <w:tab/>
      <w:tab/>
      <w:tab/>
    </w:r>
    <w:r>
      <w:rPr>
        <w:rFonts w:cs="Arial" w:ascii="Arial" w:hAnsi="Arial"/>
        <w:b/>
        <w:sz w:val="16"/>
      </w:rPr>
      <w:fldChar w:fldCharType="begin"/>
    </w:r>
    <w:r>
      <w:rPr>
        <w:sz w:val="16"/>
        <w:b/>
        <w:rFonts w:cs="Arial" w:ascii="Arial" w:hAnsi="Arial"/>
      </w:rPr>
      <w:instrText xml:space="preserve"> PAGE </w:instrText>
    </w:r>
    <w:r>
      <w:rPr>
        <w:sz w:val="16"/>
        <w:b/>
        <w:rFonts w:cs="Arial" w:ascii="Arial" w:hAnsi="Arial"/>
      </w:rPr>
      <w:fldChar w:fldCharType="separate"/>
    </w:r>
    <w:r>
      <w:rPr>
        <w:sz w:val="16"/>
        <w:b/>
        <w:rFonts w:cs="Arial" w:ascii="Arial" w:hAnsi="Arial"/>
      </w:rPr>
      <w:t>3</w:t>
    </w:r>
    <w:r>
      <w:rPr>
        <w:sz w:val="16"/>
        <w:b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1560" w:end="0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margin">
            <wp:align>center</wp:align>
          </wp:positionH>
          <wp:positionV relativeFrom="paragraph">
            <wp:posOffset>635</wp:posOffset>
          </wp:positionV>
          <wp:extent cx="7750810" cy="923925"/>
          <wp:effectExtent l="0" t="0" r="0" b="0"/>
          <wp:wrapNone/>
          <wp:docPr id="1" name="Imagem 2" descr="Identidade visual do Business Tech Congress 2026" title="Identidade visual do Business Tech Congress 20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0" r="-5" b="-40"/>
                  <a:stretch>
                    <a:fillRect/>
                  </a:stretch>
                </pic:blipFill>
                <pic:spPr bwMode="auto">
                  <a:xfrm>
                    <a:off x="0" y="0"/>
                    <a:ext cx="7750810" cy="923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>Diego Gallina</dc:creator>
  <dc:description/>
  <ns0:keywords>B-Tech Congress</ns0:keywords>
  <dc:language>pt-BR</dc:language>
  <ns0:lastModifiedBy>Diego Gallina</ns0:lastModifiedBy>
  <ns0:lastPrinted>2023-10-30T16:07:00Z</ns0:lastPrinted>
  <ns1:modified xsi:type="dcterms:W3CDTF">2026-07-17T19:38:00Z</ns1:modified>
  <ns0:revision>4</ns0:revision>
  <dc:subject>Manuscrito tecnológico BTech 2026</dc:subject>
  <dc:title>Benevente Wealth System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