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avaliada declara quatro perfis, do ultraconservador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e removê-los deixa o retorno em 16,55% ao ano, ainda acima do Ibovespa;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não é a trilha de auditoria, e sim ligá-la a um protocolo congelado com critério de falseamento declarado.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dado, versão da regra e aprovação, a justificativa posterior incorpora informação que não existia. O Benevente produz proposta e registro verificável no mesmo fluxo.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data de recebimento a justificativa incorpora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não é a trilha de auditoria com hash e separação de papéis, que já é padrão, e sim ligá-la a um protocolo congelado antes do período avaliado, com critério de falseamento e início da amostra confirmatória declarados. Trilhas registram o que houve; esta se compromete de antemão com o que contaria como fracasso.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QUATRO PERFIS DECLARADOS</w:t>
      </w:r>
    </w:p>
    <w:p>
      <w:pPr>
        <w:pStyle w:val="Normal"/>
      </w:pPr>
      <w:r>
        <w:t>Desde agosto de 2026 o sistema opera sob uma política declarada. Em vez da busca anual, ela fixa quatro carteiras, congeladas antes da avaliação prospectiva: o ultraconservador aloca 4% do patrimônio em renda variável entre doze emissores; o conservador, 35% entre doze;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O ultraconservador foi declarado em 30 de agosto de 2026, quatro dias depois dos outros três, e a amostra confirmatória dos quatro começa junto, em 2027. As séries de 2026 são reconstruções de agosto, com a política aplicada retroativamente a 2 de janeiro com os dados de então; nenhuma foi acompanhada desde janeiro.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A auditoria cruzou por ano a política, os pesos e o tipo de reconstrução, e mede a parcela da exposição a ações que dependeu de provento imputado. Três testes de sensibilidade complementam a inspeção: a reamostragem conjunta dos vetores anuais, com 100 mil amostras e semente registrada, que mede estabilidade interna sem criar crises novas; perdas hipotéticas aplicadas apenas à parcela investida em séries imputadas; e a remoção dessas séries, com o orçamento delas no caixa e a contribuição medida de cada posição.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79"/>
        <w:gridCol w:w="1294"/>
        <w:gridCol w:w="900"/>
        <w:gridCol w:w="1664"/>
        <w:gridCol w:w="1109"/>
        <w:gridCol w:w="1109"/>
        <w:gridCol w:w="1505"/>
      </w:tblGrid>
      <w:tr>
        <w:trPr>
          <w:cantSplit/>
          <w:tblHeader w:val="true"/>
        </w:trPr>
        <w:tc>
          <w:tcPr>
            <w:tcW w:type="dxa" w:w="14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29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6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50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Ultraconservador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9,73%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−0,81%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12,34%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−9,17%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15,39%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−17,88%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19,79%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−28,95%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Tesouro Selic</w:t>
            </w:r>
          </w:p>
        </w:tc>
        <w:tc>
          <w:tcPr>
            <w:tcW w:type="dxa" w:w="129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9,36%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0,29%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−0,60%</w:t>
            </w:r>
          </w:p>
        </w:tc>
        <w:tc>
          <w:tcPr>
            <w:tcW w:type="dxa" w:w="150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quatro perfis preservam a ordenação declarada de risco: retorno e queda máxima crescem juntos do ultraconservador ao arrojado, e nenhum se aproximou da queda máxima do Ibovespa. Só o ultraconservador fica abaixo do índice, o esperado de uma carteira com 4% em ações.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Penalizar apenas a parcela imputada em 10 pontos percentuais reduz o retorno anualizado de 17,86% para 16,78%; a carteira deixa de superar o Ibovespa perto de 53 pontos de penalização, e o CDI, perto de 70. Um teste mais direto remove as séries imputadas e aplica o orçamento delas no caixa, usando a contribuição medida de cada posição: o retorno cai para 16,55%, ainda acima do Ibovespa e do CDI. A dependência se concentra em dois anos, 2021, que perde 14,7 pontos, e 2020, que passa de +1,78% para −0,51%. Como o alocador teria escolhido outro papel, e não caixa, 16,55% é piso. Nada disso repara o dado.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Covid-19, com parâmetros escolhidos apenas em 2015–2018. Fora dessa janela, em 2019–2025, a diferença anual de retorno não foi detectável (p = 0,964): o efeito medido é de queda, não de retorno. No histórico completo a queda máxima recuou de 47,8% para 28,7% e o retorno anualizado subiu de 17,86% para 18,45%, e a Tabela 2 mantém as duas séries separadas. Para R$ 100 mil, o imposto incremental das reduções foi de R$ 2.195, levando o valor terminal de R$ 643.774 para R$ 634.531. A camada integra a política declarada da Seção 3.4.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e gestores patrimoniais.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estavam disponíveis e quais passaram na validação; a triagem mostra aprovados e reprovados com o motivo; a carteira candidata apresenta pesos, parcela defensiva, custo e comparação com CDI, Ibovespa e MVO. O profissional revisa a tese, registra riscos, aprova ou rejeita e justifica; o dossiê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por fontes, políticas, acessos e aprovadores. No piloto o sistema acompanha poucas carteiras sem enviar ordens, e os dossiês são confrontados com o processo vigente; a conciliação de custos e posições fecha o ciclo. O piloto medirá tempo, completude da evidência, revisões, divergência de custos e disposição a pagar; é lá que a intensidade do problema se mede. O produto permanece em protótipo,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 distribuição imputada pela mediana transversal do ano; a Seção 5.2 mede o alcance e o efeito disso.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 a queda máxima chegou a 47,8%, pior que os 47,0% do Ibovespa; a camada reduziu essa marca para 28,7%, mas foi concebida depois da Covid-19 (Seção 5.5); o imposto de renda variável é apurado por ativo e custo médio, e resta conciliar com notas de corretagem. A política limita a exposição por perfil, com quedas máximas retrospectivas entre 9,2% e 28,9%, mas seus parâmetros também foram definidos com conhecimento da amostra.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quatro perfis superaram o CDI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