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vigente declara três perfis, do 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Versão posterior trocou o caixa modelado por um instrumento comprável, e o retorno de cada perfil caiu entre 0,07 e 0,17 ponto ao ano (Seção 4.1.2). A auditoria dimensionou a dependência de proventos imputados, 13,9% da exposição acumulada a ações, recusou o selo de reconciliação externa após comparar 54 de 56 observações ativo-ano com a fonte primária, e manteve os intervalos de 95% do excesso cruzando zero contra caixa e Ibovespa. Os retornos históricos são, portanto, diagnóstico de desenvolvimento, não validação comercial. O modelo de linguagem não demonstrou ganho de retorno e permanece restrito à explicação. A contribuição é um fluxo verificável que separa dado, cálculo, linguagem e responsabilidade.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recomendação é produzida hoje e defendida anos depois; sem preservar dado admitido, versão da regra e aprovação, a justificativa posterior incorpora informação que não existia. O Benevente produz proposta e registro verificável no mesmo fluxo. Intensidade do problema e disposição a pagar ainda dependem de piloto; o artigo não presume impacto regional nem demanda.</w:t>
      </w:r>
    </w:p>
    <w:p>
      <w:pPr>
        <w:pStyle w:val="Normal"/>
      </w:pPr>
      <w:r>
        <w:t>Quando um cliente pergunta por que uma ação entrou na carteira anos antes, o escritório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2023, e sem controle de data de recebimento a justificativa fica contaminada por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de então, e não a regra de hoje.</w:t>
      </w:r>
    </w:p>
    <w:p>
      <w:pPr>
        <w:pStyle w:val="Normal"/>
        <w:ind w:firstLine="0"/>
        <w:numPr>
          <w:ilvl w:val="0"/>
          <w:numId w:val="3"/>
        </w:numPr>
      </w:pPr>
      <w:r>
        <w:t>Quem aprovou: decisão sem responsável identificado não é auditável, e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B2B que transforme cada recomendação em documento verificável, pelo método do design science: identificar o problema, explicitar requisitos, construir e avaliar por utilidade, qualidade e evidência (Hevner et al., 2004; Peffers et al., 2007). A avaliação combina testes, inspeção das fontes, busca deliberada de erros e diagnóstico histórico. A contribuição reúne um protocolo reexecutável e um fluxo que preserva quem decidiu, com qual informação e política. O retorno passado mede o comportamento do protótipo, não sua utilidade nem o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são escritórios de investimento, consultorias de valores mobiliários e gestão patrimonial que precisam recomendar, revisar e defender carteiras: preservar o contexto da decisão, demonstrar por que cada ativo entrou ou não, e comparar com alternativas reconhecíveis pelo cliente. O piloto comercial proposto, descrito na Seção 6.3, medirá o problema e a utilidade do artefato, sem presumir efeito sobre a economia local.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uma simulação da experiência de cada cliente, cuja carteira implementável depende de suitability, liquidez, tributação e restrições contratuais.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 e sua cobertura é publicada: em 2012, primeiro ano da série, 266 de 314 ações tiveram ponte aceita e 171, fundamentos completos.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nomes. Benevente designa o produto; o módulo de seleção anual e a camada de proteção intranual, registrados como Benevente 1 e Benevente 2, são os mecanismos que a política declara por perfil (Seção 3.4); Benevente Quant AI designa a pesquisa, inclusive o experimento que combina um modelo de linguagem com um otimizador convexo. A carteira histórica publicada vem da regra multifatorial determinística. O modelo de linguagem não seleciona ativos nem define pesos: transforma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TRÊS PERFIS DECLARADOS</w:t>
      </w:r>
    </w:p>
    <w:p>
      <w:pPr>
        <w:pStyle w:val="Normal"/>
      </w:pPr>
      <w:r>
        <w:t>Desde agosto de 2026 o sistema opera sob uma política declarada. Em lugar de buscar a melhor configuração a cada ano, ela fixa três, uma por perfil, congeladas antes da avaliação prospectiva: o conservador aloca 35% do patrimônio em renda variável entre doze emissores; o equilibrado, 55% entre oito; o arrojado, 75% entre cinco. Em todos, um quinto do orçamento de renda variável fica num fundo negociado na B3 que replica o S&amp;P 500 em reais (IVVB11), definido pela política e não pelo escore, e o saldo permanece em caixa. A camada de proteção intranual atua apenas sobre a parcela doméstica, porque o sinal de estresse é calculado sobre o Ibovespa. O registro traz os hashes dos insumos, o assinante, o critério de falseamento e o início da amostra confirmatória, e nenhum parâmetro muda depois do congelamento sem nova versão e nova contagem. As Seções 4.1.1 e 4.1.2 documentam as duas revisões; a 5.1 traz o diagnóstico.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anual é coerente com o sinal e foi testada: fundamentos saem em ciclos contábeis e a tese precisa de tempo para aparecer no preço; a troca mensal vende a empresa antes do reconhecimento e multiplica decisões a justificar. A revisão em janeiro cria uma fronteira simples: o publicado até a data entra, o resto é do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Significa que a reseleção sistemática ocorre uma vez ao ano.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pesos, porque avaliá-las exigiria um braço prospectivo com horário de publicação e decisões arquivadas antes do desfecho.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O sistema modela três parcelas de custo, deduzidas do retorno bruto.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  <w:ind w:firstLine="0"/>
        <w:numPr>
          <w:ilvl w:val="0"/>
          <w:numId w:val="1"/>
        </w:numPr>
      </w:pPr>
      <w:r>
        <w:t>Imposto de renda brasileiro, com 15% sobre ganho realizado em renda variável e 17,5% sobre renda fixa na faixa de 361 a 720 dias, cobrado no ano em que a revisão seguinte efetivamente realiza o ganho, e com liquidação integral assumida no último ano avaliado. Essa é a hipótese terminal conservadora, em vez de um diferimento indefinido que embelezaria a série.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 — condição verificada pela reprodução das 36 configurações compartilhadas com diferença máxima de 5,6×10⁻¹⁷ —, a mesma seleção aninhada sobre 256 candidatos rendeu 12,68% ao ano contra 15,31% da grade de 36, uma perda de 2,63 pontos. O Sharpe deflacionado caiu de 0,957 para 0,777, abaixo da significância, porque o máximo esperado sob a hipótese nula subiu de 0,375 para 0,746 com o número de tentativas. Em 2018 o seletor ampliado dedicou o ano a uma configuração que rendeu −7,2% enquanto o CDI rendeu 6,4%. A seleção aninhada tem, portanto, um limite de capacidade: dez observações anuais não ordenam 256 candidatos, e ultrapassar o limite degrada a proteção do procedimento sem sinal visível de alerta.</w:t>
      </w:r>
    </w:p>
    <w:p>
      <w:pPr>
        <w:pStyle w:val="Normal"/>
      </w:pPr>
      <w:r>
        <w:t>A consequência de projeto foi a política declarada da Seção 3.4, congelada com assinante identificado, critério de falseamento e amostra confirmatória a partir de 2027. O experimento completo, com os controles e os negativos auxiliares, está em manuscrito próprio (declared_over_searched_2026), e cada número publicado é conferido por rotina automática contra os artefatos versionados. A mesma auditoria corrigiu a referência do Ibovespa, que passou a ser lida da série datada de origem — 11,74% ao ano e queda de 46,8% —, depois de constatada deriva na curva rebaseada do motor.</w:t>
      </w:r>
    </w:p>
    <w:p>
      <w:pPr>
        <w:pStyle w:val="Normal"/>
      </w:pPr>
      <w:r>
        <w:t>4.1.2 Resultado posterior: o caixa deixa de ser um índice (26/08/2026)</w:t>
      </w:r>
    </w:p>
    <w:p>
      <w:pPr>
        <w:pStyle w:val="Normal"/>
      </w:pPr>
      <w:r>
        <w:t>A política da Seção 4.1.1 declarava como caixa 100% do CDI capitalizado diariamente — um índice, não um instrumento: sem custódia, sem spread e sem rolagem. Registrada no dia seguinte (SHA-256 iniciado em ca2476d4), a versão 3 troca apenas esse componente por Tesouro Selic, reconstruído do arquivo diário do Tesouro Transparente e líquido da custódia da B3 na tabela histórica e do spread cobrado em cada rolagem. Nada mais muda, o que permite atribuir o efeito inteiro ao instrumento. O caixa rende 9,36% ao ano contra 9,68% do índice, e o retorno de cada perfil cai entre 0,07 e 0,17 ponto: conservador 12,34%, equilibrado 15,39% e arrojado 19,79%, com quedas máximas de −9,17%, −17,88% e −28,95%. O excesso sobre o caixa, porém, sobe entre 0,08 e 0,18 ponto, porque o comparador é integralmente caixa e a carteira não é. A troca revelou ainda que a coluna de caixa do painel anterior é constante até 2012: a escada avalia de 2015 e não era afetada, mas a seleção aninhada ordenava com o caixa rendendo zero naquele ano, penalizando as alternativas defensivas. Como as duas pontas do experimento da Seção 4.1.1 usaram o mesmo insumo, a comparação entre elas permanece válida; o que não se pode afirmar é que a ordenação teria sido idêntica com o caixa correto.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de forma independente.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ou seja, a estratégia estava sendo comparada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Como uma série problemática pode nunca entrar na carteira, a auditoria cruzou, por ano, a política escolhida, os pesos e o tipo de reconstrução de cada série, e mede a parcela da exposição acumulada a ações que dependeu de provento imputado. Dois testes de sensibilidade complementam a inspeção: a reamostragem conjunta dos vetores anuais de estratégia e comparadores, com 100 mil amostras e semente registrada, que mede estabilidade interna sem criar crises novas; e perdas hipotéticas de 10, 25, 50 e 100 pontos percentuais aplicadas somente à parcela investida em séries imputadas, que mostram quanto o resultado depende dessa hipótese.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A linhagem tem quatro registros: o módulo de seleção anual, em 16 de agosto de 2026; a camada de proteção e o protocolo de acompanhamento, depois das respectivas mudanças; a política por perfil, em 25 de agosto; e a revisão do instrumento de caixa, em 26 de agosto, que é a que governa decisões futuras. Extensões não herdam a data dos registros anteriores. Para sustentar uma conclusão prospectiva, cada perfil precisa superar o próprio caixa declarado e o Ibovespa após custos e tributos, respeitar o critério de falseamento do registro e acumular ao menos três decisões anuais completas posteriores ao congelamento; a amostra confirmatória começa no primeiro pregão de 2027. Nenhuma observação prospectiva havia sido consumida quando a versão 3 substituiu a 2, e por isso a contagem não recomeçou — se já tivesse sido, teria recomeçado. Não existe resultado prospectivo na data deste artigo: a carteira de janeiro de 2026 antecede os registros e é carteira-sombra.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justificativa, e os testes de integridade recusaram arquivo alterado, peso que não soma 100%, ordem acima do limite de liquidez e fundamento recebido após a data da decisão. A auditoria da Seção 5.7 encontrou sete defeitos no próprio processo, e as correções alteraram as métricas publicadas.</w:t>
      </w:r>
    </w:p>
    <w:p>
      <w:pPr>
        <w:pStyle w:val="Normal"/>
      </w:pPr>
      <w:r>
        <w:t>A Tabela 2 traz o diagnóstico retrospectivo da política vigente sobre 2015–2025, com custos modelados e a camada aplicada à parcela doméstica. Os valores descrevem 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072"/>
        <w:gridCol w:w="1364"/>
        <w:gridCol w:w="900"/>
        <w:gridCol w:w="1754"/>
        <w:gridCol w:w="1169"/>
        <w:gridCol w:w="1169"/>
        <w:gridCol w:w="1632"/>
      </w:tblGrid>
      <w:tr>
        <w:trPr>
          <w:cantSplit/>
          <w:tblHeader w:val="true"/>
        </w:trPr>
        <w:tc>
          <w:tcPr>
            <w:tcW w:type="dxa" w:w="10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3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75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63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19,87%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−28,94%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3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0,25%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3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perfis preservam a ordenação declarada de risco: retorno e queda máxima crescem juntos do conservador ao arrojado, e nenhum perfil se aproximou da queda máxima do Ibovespa.</w:t>
      </w:r>
    </w:p>
    <w:p>
      <w:pPr>
        <w:pStyle w:val="Normal"/>
      </w:pPr>
      <w:r>
        <w:t>As análises das Seções 5.2 a 5.4 — imputação, reamostragem pareada e correção por múltiplas tentativas — foram conduzidas sobre a série de desenvolvimento do módulo de seleção, que tem o histórico de auditoria mais longo. A Tabela 3 traz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Sob as hipóteses do diagnóstico, R$ 100 mil teriam terminado em R$ 609.832 na série do módulo de seleção, R$ 643.774 com a camada de proteção antes do imposto incremental, R$ 340.068 no Ibovespa e R$ 274.368 no CDI.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e 2 de 2 de dez; contra a otimização de referência, vence todas. As janelas se sobrepõem, então descrevem a amostra sem aumentar seu tamanho.</w:t>
      </w:r>
    </w:p>
    <w:p>
      <w:pPr>
        <w:pStyle w:val="Normal"/>
      </w:pPr>
      <w:r>
        <w:t>O retorno da série de desenvolvimento veio com risco elevado: a queda máxima diária chegou a 47,8%, próxima aos 47,0% do Ibovespa, porque entre 2018 e 2021 a política então selecionada manteve 95% em ações concentradas em cinco ou seis emissores. A camada de proteção preservou os mesmos ativos e reduziu a exposição só depois de estresse observado, levando a queda a 28,7%, com a maior perda na Covid-19. É por isso que a política vigente limita o orçamento por perfil: a amostra não permite afirmar proteção futura, mas a ordenação de risco da Tabela 2 é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Aplicar uma perda adicional de 10 pontos percentuais apenas à parcela imputada reduz o retorno anualizado de 17,86% para 16,78%; com 25 pontos, para 15,11%; com 50, para 12,16%; com 100, para 5,41%. A carteira deixa de superar o Ibovespa quando a penalização chega a cerca de 53 pontos percentuais, e o CDI, perto de 70. O teste mostra margem econômica, mas não repara o dado: como metade da carteira de 2020 dependeu de séries imputadas, o retorno histórico permanece diagnóstico até a reconciliação em fonte primária.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passar de 36 para 256 candidatos custou 2,63 pontos ao ano e a significância.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Covid-19. A camada de proteção reduz a exposição após estresse de queda e volatilidade do Ibovespa. No histórico da série de desenvolvimento, a queda máxima recuou de 47,8% para 28,7%. A configuração escolhida somente com 2015–2018 também elevou o retorno anualizado de 17,86% para 18,45%, mas a diferença anual de retorno em 2019–2025 não foi detectável (p = 0,964). Para R$ 100 mil, a estimativa agregada do imposto incremental das reduções foi de R$ 2.195, levando o valor terminal estimado de R$ 643.774 para R$ 634.531, antes da tributação já pertencente à revisão anual. A camada integra a política declarada da Seção 3.4; sua evidência histórica permanece retrospectiva.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medirá fidelidade, completude, cobertura de riscos e números inventados da camada de linguagem. Ela não seleciona ativos nem herda resultados anteriores.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consultorias, gestores patrimoniais e escritórios multifamiliares. A política aplicada, os dados e seus hashes, a elegibilidade, os pesos, as ordens, o custo estimado e a aprovação permanecem ligados à mesma decisão, o que reduz o tempo de reconstrução e permite responder por que um papel entrou e por que outro ficou de fora. O valor a testar está na consistência do processo e na capacidade de revisão, não em promessa de superar o mercado.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perfil declarado adequado ao cliente. O usuário vê quais arquivos e demonstrações estavam disponíveis e quais passaram na validação; a triagem mostra aprovados e reprovados com o respectivo motivo; a carteira candidata apresenta pesos, parcela defensiva, custo e comparação com CDI, Ibovespa e MVO. O profissional revisa a tese, registra riscos, aprova ou rejeita a proposta e informa a justificativa, e o dossiê final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A implantação começa pela definição de fontes, políticas, acessos e aprovadores. No piloto o sistema acompanha poucas carteiras sem enviar ordens, e os dossiês são confrontados com o processo vigente; a conciliação de custos e posições fecha o ciclo entre proposta e execução. O piloto medirá tempo, completude da evidência, revisões, divergência de custos e disposição a pagar. O produto permanece em protótipo reprodutível: a janela descreve a amostra, e a avaliação prospectiva começa nos registros congelados, com hashes versionados e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</w:t>
      </w:r>
    </w:p>
    <w:p>
      <w:pPr>
        <w:pStyle w:val="Normal"/>
      </w:pPr>
      <w:r>
        <w:t>A segunda limitação está nos dados. A página atual da B3 respondeu para 95,6% das séries consultadas, percentual que mede resposta do serviço, não completude histórica; a reconstrução das posições mantidas encontrou sete diferenças materiais em 54 comparações e duas observações sem resposta. Papéis sem cobertura completa recebem, em casos identificados, distribuição imputada pela mediana transversal do ano, fragilidade que atingiu 13,9% da exposição acumulada a ações e 50% da carteira de 2020.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desenvolvimento, a queda máxima diária chegou a 47,8%, ligeiramente pior que os 47,0% do Ibovespa; a camada de proteção reduziu essa marca retrospectiva para 28,7%, mas foi concebida depois da Covid-19 e ainda não demonstrou benefício prospectivo; o imposto de renda variável é apurado por ativo e custo médio; resta conciliar com notas de corretagem. A política vigente limita a exposição por perfil, com quedas máximas retrospectivas entre 9,2% e 28,9%, mas seus parâmetros também foram definidos com conhecimento da amostra e só a janela confirmatória poderá qualificá-los.</w:t>
      </w:r>
    </w:p>
    <w:p>
      <w:pPr>
        <w:pStyle w:val="Normal"/>
      </w:pPr>
      <w:r>
        <w:t>Por fim, o produto não elimina responsabilidade profissional: uso comercial exige enquadramento regulatório, suitability, segurança, contrato de fontes e aprovação humana. O modelo de linguagem não seleciona ativos nem define pesos, e o radar de notícias serve apenas ao alerta humano, sem participar do retorno histórico.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um estudo com notícias deve ser registrado como braço separado, com horário verificável.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três perfis superaram o caixa em oito de onze anos cada um, com quedas escalonadas conforme o perfil; a incerteza amostral e a imputação parcial impedem tratar isso como superioridade comprovada. Os negativos são parte da contribuição: reselecionar mais vezes não ajudou, o modelo de linguagem não acrescentou retorno, a alocação direta por texto saiu aritmeticamente inconsistente em parte dos anos e a própria busca se degradou ao ser ampliada.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usa para achar erros que alteram o próprio resultado — inclusive recusando um selo que os dados não sustentavam e trocando um caixa que não era comprável — e para medir o limite do próprio procedimento de seleção. A viabilidade comercial depende de um piloto que meça ganho de tempo, completude documental, compreensão e disposição a pagar.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Código, testes, manifestos e arquivos de evidência estão em https://github.com/diegogallina1/benevente, com fontes, limitações e comandos de reprodução documentados. A demonstração está em https://benevente-wealth-system.vercel.app/.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