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before="0"/>
        <w:jc w:val="center"/>
      </w:pPr>
      <w:r>
        <w:t>Benevente Wealth System: um artefato de decisão e governança de carteira para escritórios de investimento do Espírito Santo</w:t>
      </w:r>
    </w:p>
    <w:p>
      <w:pPr/>
      <w:r>
        <w:rPr>
          <w:b/>
        </w:rPr>
        <w:t>Artigo tecnológico submetido ao 6º Business Tech Congress, 2026.</w:t>
      </w:r>
    </w:p>
    <w:p>
      <w:pPr>
        <w:pStyle w:val="Heading1"/>
      </w:pPr>
      <w:r>
        <w:t>Resumo</w:t>
      </w:r>
    </w:p>
    <w:p>
      <w:pPr/>
      <w:r>
        <w:t>Escritórios de investimento capixabas, entre multi-family offices, consultorias de valores mobiliários e assessorias, recomendam carteiras que precisam ser justificadas meses depois de montadas, diante do cliente, da área de conformidade ou do regulador. Três perguntas voltam sempre: quais dados existiam na data da decisão, qual regra foi aplicada sobre eles e quem aprovou. Planilha não responde nenhuma. Plataforma de terceiro costuma responder à segunda de forma opaca. Este trabalho tem como objetivo construir e avaliar o Benevente Wealth System, um artefato de software que produz a proposta de carteira e sua trilha de auditoria no mesmo ato. A avaliação combina design science, seleção anual aninhada e teste histórico sequencial. Cada decisão sai acompanhada da política vigente, dos fundamentos recebidos pela CVM até a data de corte, da elegibilidade com o motivo de cada reprovação, dos pesos, das ordens propostas com lote e participação no volume, do custo estimado e do SHA-256 dos arquivos que geraram os números. O artefato foi avaliado em onze decisões anuais, de 2015 a 2025, sobre um painel da B3 reconstruído do arquivo histórico de cotações e que conserva 166 emissores que deixam de negociar antes do fim da amostra. A carteira publicada, denominada Benevente 1, rendeu 17,86% ao ano após custos, ou 16,03% após imposto de renda, contra 11,77% do Ibovespa, 9,61% do CDI e 7,83% de uma otimização média-variância independente sobre o mesmo universo elegível. Venceu o mercado em sete dos onze anos e a otimização neutra em dez. Uma extensão experimental, Benevente 2, preserva a seleção anual e reduz temporariamente a exposição quando queda e volatilidade observadas no fechamento anterior ultrapassam limiares registrados. Na amostra completa ela reduziu a queda máxima de 47,8% para 28,7%, mas no recorte temporal de 2019 a 2025 não demonstrou retorno adicional (p = 0,964). Reportamos também o que não funcionou: previsão anual de regime, realocação mensal e semanal da proporção entre ações e caixa, reseleção mais frequente da própria cesta e o uso de um modelo de linguagem como fonte de retorno. A contribuição tecnológica não é uma promessa de rentabilidade. É um sistema verificável que separa dado, regra, alocação, explicação e aprovação, inclusive quando uma melhoria protege o capital sem comprovar alfa.</w:t>
      </w:r>
    </w:p>
    <w:p>
      <w:pPr/>
      <w:r>
        <w:rPr>
          <w:b/>
        </w:rPr>
        <w:t>Palavras-chave:</w:t>
      </w:r>
      <w:r>
        <w:t xml:space="preserve"> governança de investimentos; trilha de auditoria; alocação de carteira; informação disponível na data; viés de sobrevivência; pesquisa reprodutível.</w:t>
      </w:r>
    </w:p>
    <w:p>
      <w:pPr>
        <w:pStyle w:val="Heading1"/>
      </w:pPr>
      <w:r>
        <w:t>1. Introdução: problema, objetivo e contribuição</w:t>
      </w:r>
    </w:p>
    <w:p>
      <w:pPr/>
      <w:r>
        <w:t>Este trabalho parte de uma hipótese de mercado a ser validada no piloto: escritórios do Espírito Santo que mantêm o relacionamento com famílias e empresas locais podem depender de infraestrutura de decisão produzida fora do estado. O problema proposto não é falta de competência analítica. É a ausência de uma ferramenta que produza, no ato da recomendação, o registro que a recomendação vai exigir depois. A pesquisa ainda não mede o tamanho desse mercado, a disposição a pagar ou a taxa de adoção. Portanto, retenção de capital e geração de negócios no estado são resultados esperados do produto, não resultados já comprovados.</w:t>
      </w:r>
    </w:p>
    <w:p>
      <w:pPr/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Quais dados existiam naquela data.</w:t>
      </w:r>
      <w:r>
        <w:t xml:space="preserve">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Qual regra foi aplicada.</w:t>
      </w:r>
      <w:r>
        <w:t xml:space="preserve"> Não a regra que o escritório usa hoje, mas a que estava vigente naquele janeiro, com os limites que estavam vigentes.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Quem aprovou.</w:t>
      </w:r>
      <w:r>
        <w:t xml:space="preserve"> Uma decisão de alocação sem responsável identificado não é auditável, e a automação sem aprovação humana desloca a responsabilidade para um sistema que não pode respondê-la.</w:t>
      </w:r>
    </w:p>
    <w:p>
      <w:pPr/>
      <w:r>
        <w:t>Planilhas falham nas três: sobrescrevem o estado anterior, misturam regra e dado, e não guardam autoria. Plataformas de terceiros costumam responder à segunda pergunta com uma caixa fechada, entregando ao escritório a carteira e não o critério. Nenhuma das duas alternativas serve a quem responde pela decisão.</w:t>
      </w:r>
    </w:p>
    <w:p>
      <w:pPr/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/>
      <w:r>
        <w:t>O objetivo é materializar e avaliar esse artefato para o contexto B2B de escritórios de investimento. O método segue a lógica de design science: identificar o problema, explicitar os requisitos, construir o artefato e avaliá-lo por utilidade, qualidade e capacidade de produzir evidência (Hevner et al., 2004; Peffers et al., 2007). A avaliação financeira não é uma demonstração comercial isolada. Ela executa, ano após ano, uma regra registrada antes do retorno seguinte, cobra custos, compara referências independentes e mede quanto a escolha retrospectiva teria melhorado o resultado. A contribuição é dupla: um protocolo quantitativo auditável e um fluxo de trabalho capaz de transformar cada recomendação em documento verificável para revisão humana.</w:t>
      </w:r>
    </w:p>
    <w:p>
      <w:pPr>
        <w:pStyle w:val="Heading1"/>
      </w:pPr>
      <w:r>
        <w:t>2. Fundamentação e posicionamento</w:t>
      </w:r>
    </w:p>
    <w:p>
      <w:pPr/>
      <w:r>
        <w:t>Três problemas metodológicos bem documentados na literatura de finanças quantitativas foram tratados como requisitos de projeto, não como ressalvas de rodapé.</w:t>
      </w:r>
    </w:p>
    <w:p>
      <w:pPr/>
      <w:r>
        <w:rPr>
          <w:b/>
        </w:rPr>
        <w:t>Viés de sobrevivência.</w:t>
      </w:r>
      <w:r>
        <w:t xml:space="preserve">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/>
      <w:r>
        <w:rPr>
          <w:b/>
        </w:rPr>
        <w:t>Informação disponível na data.</w:t>
      </w:r>
      <w:r>
        <w:t xml:space="preserve">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/>
      <w:r>
        <w:rPr>
          <w:b/>
        </w:rPr>
        <w:t>Múltiplas tentativas.</w:t>
      </w:r>
      <w:r>
        <w:t xml:space="preserve">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/>
      <w:r>
        <w:t>Quatro referências clássicas orientam a construção financeira do artefato. Markowitz (1952) mostrou que uma carteira precisa ser analisada pela interação entre retornos e covariâncias, e não pela atratividade isolada de cada ativo. No Benevente, essa contribuição aparece de duas formas. A primeira é a exigência de uma cesta, em vez de uma aposta única no maior escore. A segunda é o comparador MVO, que pergunta quanto uma alocação baseada apenas em média, covariância e limites teria produzido sobre o mesmo universo. O comparador não serve para validar automaticamente a estratégia; serve para impedir que um ganho atribuído ao filtro fundamental seja apenas efeito de diversificação quantitativa. A ênfase em qualidade também dialoga com Novy-Marx (2013), enquanto o uso conjunto de valor, qualidade e confirmação de mercado se aproxima da lógica multifatorial de Fama e French (2015), sem pretender reproduzir exatamente seus fatores.</w:t>
      </w:r>
    </w:p>
    <w:p>
      <w:pPr/>
      <w:r>
        <w:t>Black e Litterman (1992) tratam da combinação entre equilíbrio de mercado e visões. A arquitetura do Benevente adota a separação conceitual, mas não implementa o modelo Black–Litterman como carteira publicada. Fatos fundamentais e sinais de mercado geram um ranking determinístico. A linguagem natural pode explicar a visão, registrar riscos e formular perguntas, porém não altera a matemática da alocação. Essa fronteira permite testar a camada de linguagem sem conceder a ela poder para mudar restrições ou reconstruir retrospectivamente a tese.</w:t>
      </w:r>
    </w:p>
    <w:p>
      <w:pPr/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/>
      <w:r>
        <w:t>Novy-Marx e Velikov (2016) mostram que custos de negociação podem consumir anomalias documentadas. Por isso, o retorno usado na manchete já deduz taxas e deslizamento modelado, e a busca penaliza trocas de configuração. O sistema mede giro, participação no volume e realização tributável, em vez de tratar toda mudança de peso como gratuita. Ainda assim, uma estimativa não é uma nota de corretagem. O produto prevê conciliação posterior exatamente porque o custo observado depende do tamanho, do horário, da liquidez e da qualidade de execução de cada instituição.</w:t>
      </w:r>
    </w:p>
    <w:p>
      <w:pPr/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/>
      <w:r>
        <w:t>O posicionamento do artefato decorre desses três pontos. O Benevente não compete em promessa de retorno. Compete em verificabilidade. Qualquer concorrente exibe uma curva ascendente, e a pergunta que raramente é respondida é quanto daquela curva vem de ter escolhido a regra depois de ver o resultado. Este trabalho mede esse valor e o publica.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/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/>
      <w:r>
        <w:t>O sistema é composto por cinco camadas.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Camada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Função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Base de dados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Universo, preços e fundamentos com data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Elegibilidade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Tela de aprovação por ativo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Seleção e alocação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Escore multifatorial e regra quantitativa com limites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Execução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Ordens com lote e participação no volume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Governança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Aprovação humana e conciliação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Quem aprovou e diferença contra a nota de corretagem</w:t>
            </w:r>
          </w:p>
        </w:tc>
      </w:tr>
    </w:tbl>
    <w:p/>
    <w:p>
      <w:pPr>
        <w:pStyle w:val="Heading2"/>
      </w:pPr>
      <w:r>
        <w:t>3.2 Base de dados: o universo de registro é a bolsa, não o provedor</w:t>
      </w:r>
    </w:p>
    <w:p>
      <w:pPr/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/>
      <w:r>
        <w:t>Preços deslistados exigem tratamento de eventos societários sem a ajuda do provedor, que já não serve esses papéis. O sistema detecta desdobramentos, grupamentos e bonificações grandes a partir de razões de preço redondas e persistentes no arquivo da bolsa. O detector foi validado contra o arquivo de eventos de um provedor, no subconjunto de papéis em que esse arquivo existe, e os dois lados da validação são publicados: precisão de 88,1%, com 340 de 386 ajustes aplicados coincidindo com um evento confirmado, e recall de 23,3%, com 103 de 443 eventos do provedor detectados. O recall baixo é uma limitação real e está declarada. O detector é conservador por construção, e prefere não ajustar a ajustar errado. Publicar apenas a precisão seria omitir metade do resultado.</w:t>
      </w:r>
    </w:p>
    <w:p>
      <w:pPr/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/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/>
      <w:r>
        <w:t xml:space="preserve">O foco econômico é </w:t>
      </w:r>
      <w:r>
        <w:rPr>
          <w:b/>
        </w:rPr>
        <w:t>análise fundamentalista multifatorial</w:t>
      </w:r>
      <w:r>
        <w:t>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/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/>
      <w:r>
        <w:t xml:space="preserve">Essa separação também resolve a ambiguidade entre os nomes. </w:t>
      </w:r>
      <w:r>
        <w:rPr>
          <w:b/>
        </w:rPr>
        <w:t>Benevente Quant AI</w:t>
      </w:r>
      <w:r>
        <w:t xml:space="preserve"> designa a pesquisa acadêmica, inclusive o experimento que combina um modelo de linguagem com um solver convexo. </w:t>
      </w:r>
      <w:r>
        <w:rPr>
          <w:b/>
        </w:rPr>
        <w:t>Benevente Wealth System</w:t>
      </w:r>
      <w:r>
        <w:t xml:space="preserve">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/>
      <w:r>
        <w:t>O método é divulgado sem expor o código da aplicação comercial. No fator triplo, o escore é 0,40 vezes o escore padronizado da qualidade, 0,40 vezes o escore padronizado do inverso do preço/lucro e 0,20 vezes o escore padronizado do retorno dos 12 meses anteriores. Qualidade é ROIC para empresas operacionais e ROE para instituições financeiras. A triagem exige histórico de preço, liquidez média mínima, qualidade primária de pelo menos 8% e lucro positivo. Os candidatos alternativos são valor e qualidade por média de postos percentuais, momento de 12 meses e baixa volatilidade de 12 meses. A grade contém 36 combinações: orçamento de ações de 55%, 75% ou 95%; 5, 8 ou 12 emissores; e quatro famílias de sinal. O teto por emissor é o menor valor entre 25% e 1,6 vez a divisão uniforme do orçamento de ações pelo número de posições. Pesos do fator triplo são proporcionais ao escore deslocado para valores positivos e redistribuídos por preenchimento sucessivo quando um emissor atinge o teto. A configuração completa e a transformação de cada campo permanecem disponíveis nos artefatos legíveis por máquina, enquanto cada arquivo de entrada e saída recebe SHA-256. Assim, o estudo é replicável sem transformar a interface do produto em documentação de código.</w:t>
      </w:r>
    </w:p>
    <w:p>
      <w:pPr>
        <w:pStyle w:val="Heading2"/>
      </w:pPr>
      <w:r>
        <w:t>3.4 Por que a decisão é anual</w:t>
      </w:r>
    </w:p>
    <w:p>
      <w:pPr/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/>
      <w:r>
        <w:t xml:space="preserve">Anual não significa que o sistema ignora o risco durante doze meses. Preços, concentração, liquidez e eventos materiais podem ser monitorados continuamente, e uma política institucional pode prever um gatilho extraordinário. Significa apenas que a </w:t>
      </w:r>
      <w:r>
        <w:rPr>
          <w:b/>
        </w:rPr>
        <w:t>reseleção sistemática</w:t>
      </w:r>
      <w:r>
        <w:t xml:space="preserve">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/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/>
      <w:r>
        <w:t>Retorno bruto não é resultado. O sistema modela três parcelas.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Taxas da B3</w:t>
      </w:r>
      <w:r>
        <w:t xml:space="preserve"> e corretagem por ordem.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Deslizamento por participação no volume</w:t>
      </w:r>
      <w:r>
        <w:t>, proporcional ao tamanho da ordem relativo ao volume médio diário do papel. Uma ordem grande em papel ilíquido custa mais, como custa na prática.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Imposto de renda brasileiro</w:t>
      </w:r>
      <w:r>
        <w:t>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/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/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Aprovação humana obrigatória.</w:t>
      </w:r>
      <w:r>
        <w:t xml:space="preserve"> Nenhuma ordem é transmitida, nem pode ser, porque a arquitetura não tem esse caminho.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Papel delimitado do modelo de linguagem.</w:t>
      </w:r>
      <w:r>
        <w:t xml:space="preserve">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Conciliação pós-operação.</w:t>
      </w:r>
      <w:r>
        <w:t xml:space="preserve"> A nota de corretagem é confrontada linha a linha com a ordem proposta.</w:t>
      </w:r>
    </w:p>
    <w:p>
      <w:pPr>
        <w:spacing w:line="360" w:lineRule="auto"/>
        <w:ind w:left="369" w:hanging="227"/>
      </w:pPr>
      <w:r>
        <w:t xml:space="preserve">4. </w:t>
      </w:r>
      <w:r>
        <w:rPr>
          <w:b/>
        </w:rPr>
        <w:t>Limites explícitos e versionados.</w:t>
      </w:r>
      <w:r>
        <w:t xml:space="preserve">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Seleção aninhada: a janela que escolhe não é a janela que testa</w:t>
      </w:r>
    </w:p>
    <w:p>
      <w:pPr/>
      <w:r>
        <w:t xml:space="preserve">O artefato admite múltiplas configurações de política, combinando orçamento de renda variável, número de posições e família de fatores. Publicar a melhor delas medida sobre toda a amostra seria exatamente o erro que a Seção 2 descreve. O protocolo adotado é uma seleção aninhada: para decidir a configuração do ano </w:t>
      </w:r>
      <w:r>
        <w:rPr>
          <w:i/>
        </w:rPr>
        <w:t>t</w:t>
      </w:r>
      <w:r>
        <w:t xml:space="preserve">, o sistema ordena as 36 configurações usando somente os anos já encerrados antes de </w:t>
      </w:r>
      <w:r>
        <w:rPr>
          <w:i/>
        </w:rPr>
        <w:t>t</w:t>
      </w:r>
      <w:r>
        <w:t>, pelo índice de Sharpe do excesso sobre o CDI, e adota a primeira colocada. Trocar de configuração é uma operação real, e é cobrada como rebalanceamento integral.</w:t>
      </w:r>
    </w:p>
    <w:p>
      <w:pPr/>
      <w:r>
        <w:t>O ranqueamento exige no mínimo três anos encerrados. Com o painel começando em 2012, isso torna 2012 a 2014 a janela de seleção e 2015 a 2025 a janela de avaliação, com onze decisões anuais, uma por ano. Os três anos de seleção aparecem nos gráficos, marcados como tal, e não entram em nenhuma métrica de manchete.</w:t>
      </w:r>
    </w:p>
    <w:p>
      <w:pPr>
        <w:pStyle w:val="Heading2"/>
      </w:pPr>
      <w:r>
        <w:t>4.2 Comparadores</w:t>
      </w:r>
    </w:p>
    <w:p>
      <w:pPr/>
      <w:r>
        <w:t>Quatro referências, todas calculadas de forma independente.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CDI</w:t>
      </w:r>
      <w:r>
        <w:t>, série 12 do Banco Central, como custo de oportunidade do caixa.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Ibovespa</w:t>
      </w:r>
      <w:r>
        <w:t>, que é um índice de retorno total e portanto comparável a uma carteira que reinveste proventos.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BOVA11</w:t>
      </w:r>
      <w:r>
        <w:t>, o ETF efetivamente investível, para que a comparação não dependa de um índice não negociável.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Otimização média-variância neutra</w:t>
      </w:r>
      <w:r>
        <w:t xml:space="preserve"> sobre o mesmo universo elegível, um comparador independente e não uma cópia da carteira com outro nome.</w:t>
      </w:r>
    </w:p>
    <w:p>
      <w:pPr/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Heading2"/>
      </w:pPr>
      <w:r>
        <w:t>4.3 Correção por múltiplas tentativas</w:t>
      </w:r>
    </w:p>
    <w:p>
      <w:pPr/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/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Benevente 2: proteção intranual sem trocar a tese anual</w:t>
      </w:r>
    </w:p>
    <w:p>
      <w:pPr/>
      <w:r>
        <w:t>O Benevente 1 continua sendo a estratégia publicada: a cesta e o orçamento de risco são definidos na revisão anual e os ativos são mantidos até a revisão seguinte. O Benevente 2 é uma extensão experimental que não escolhe ações novas e não usa notícias. Ele observa somente a queda do Ibovespa em relação ao pico móvel de 126 sessões e a volatilidade realizada em 20 sessões, sempre deslocadas em um pregão. Assim, a decisão de hoje usa apenas o fechamento de ontem.</w:t>
      </w:r>
    </w:p>
    <w:p>
      <w:pPr/>
      <w:r>
        <w:t>A configuração candidata foi escolhida somente em 2015--2018. Um alerta é acionado com queda de 12% ou volatilidade anualizada de 40%, limitando a exposição a ações a 50%. O estado severo usa 22% e 60%, respectivamente, e limita a exposição a 35%. A saída exige dez sessões de recuperação, para reduzir idas e vindas. O saldo migra para CDI e cada mudança paga 0,10% por unidade de giro. O período de 2019--2025 é lido separadamente como avaliação retrospectiva. A extensão foi concebida depois da Covid-19, portanto essa separação temporal não elimina o viés conceitual e não equivale a validação prospectiva.</w:t>
      </w:r>
    </w:p>
    <w:p>
      <w:pPr>
        <w:pStyle w:val="Heading1"/>
      </w:pPr>
      <w:r>
        <w:t>5. Resultados</w:t>
      </w:r>
    </w:p>
    <w:p>
      <w:pPr>
        <w:pStyle w:val="Heading2"/>
      </w:pPr>
      <w:r>
        <w:t>5.1 Desempenho da carteira publicada</w:t>
      </w:r>
    </w:p>
    <w:p>
      <w:pPr/>
      <w:r>
        <w:t>Onze decisões anuais, de 2015 a 2025, líquidas de custos de execução.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 w:val="true"/>
        </w:trPr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R$ 100 mil viram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Anos vencidos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Benevente 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17,86%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R$ 609.832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Benevente, após IR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16,03%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R$ 513.052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Ibovespa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11,77%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R$ 340.068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BOVA11 (ETF investível)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11,72%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R$ 338.545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CDI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9,61%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R$ 274.368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6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MVO neutra, mesmo universo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7,83%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R$ 229.255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10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</w:tbl>
    <w:p/>
    <w:p>
      <w:pPr/>
      <w:r>
        <w:t>A coluna em reais existe porque percentual é fácil de aprovar com a cabeça e difícil de sentir. Cem mil reais aplicados em janeiro de 2015 e resgatados no fim de 2025 seriam R$ 609.832 na carteira publicada, R$ 340.068 no Ibovespa e R$ 274.368 no CDI, uma diferença de R$ 269.764 para o mercado e de R$ 335.464 para o caixa.</w:t>
      </w:r>
    </w:p>
    <w:p>
      <w:pPr/>
      <w:r>
        <w:t>Em janelas móveis, contra o CDI a carteira vence 8 de 9 janelas de três anos, 6 de 7 de cinco anos e 2 de 2 de dez anos. Contra a otimização neutra, vence todas as janelas de três, cinco e dez anos. Registramos que janelas móveis se sobrepõem: as 9 janelas de três anos contêm apenas 3 blocos independentes, e as de dez anos, apenas 1. O número de janelas vencidas impressiona mais do que informa, e por isso publicamos os dois lados.</w:t>
      </w:r>
    </w:p>
    <w:p>
      <w:pPr/>
      <w:r>
        <w:rPr>
          <w:b/>
        </w:rPr>
        <w:t>O que esse resultado custa.</w:t>
      </w:r>
      <w:r>
        <w:t xml:space="preserve"> A queda máxima diária chegou a 47,8%, praticamente a mesma do Ibovespa no período, que foi de 47,0%, porque o protocolo aninhado elevou a parcela de renda variável a 95% entre 2018 e 2021. A carteira não é uma versão suavizada do mercado com retorno maior. É uma carteira concentrada que passou pelo mesmo tombo e se recuperou mais. Houve cinco trocas de configuração no período, e o orçamento de renda variável percorreu 55%, 75%, 95%, 75% e 55%.</w:t>
      </w:r>
    </w:p>
    <w:p>
      <w:pPr>
        <w:pStyle w:val="Heading2"/>
      </w:pPr>
      <w:r>
        <w:t>5.2 Benevente 2: o que melhorou e o que não foi provado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2015--2025</w:t>
            </w:r>
          </w:p>
        </w:tc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2019--2025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Benevente 1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17,86%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17,95%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Benevente 2, experimental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18,45%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−28,7%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18,03%</w:t>
            </w:r>
          </w:p>
        </w:tc>
      </w:tr>
    </w:tbl>
    <w:p/>
    <w:p>
      <w:pPr/>
      <w:r>
        <w:t>Na crise de 2020, o primeiro alerta ocorreu em 28/02/2020 e o estado severo em 10/03/2020. A exposição mínima ficou em 35%. O Benevente 1 terminou o ano com 1,78%, o Benevente 2 com 4,35% e o Ibovespa com 0,62%. A queda máxima caiu de 47,8% para 28,7%, enquanto a do índice foi de 46,8%.</w:t>
      </w:r>
    </w:p>
    <w:p>
      <w:pPr/>
      <w:r>
        <w:t xml:space="preserve">O resultado de retorno exige contenção. No recorte 2019--2025 a diferença de CAGR entre as versões foi de apenas 0,09 ponto percentual e o teste pareado anual produziu p = 0,964. Portanto, não há evidência de alfa adicional. Numa grade de sensibilidade com 432 configurações, todas reduziram a queda máxima, mas apenas 9,03% melhoraram simultaneamente CAGR e queda no recorte de avaliação. A conclusão sustentada é </w:t>
      </w:r>
      <w:r>
        <w:rPr>
          <w:b/>
        </w:rPr>
        <w:t>redução robusta de risco de cauda</w:t>
      </w:r>
      <w:r>
        <w:t>, não aumento comprovado de rentabilidade. Os números do Benevente 2 incluem custo de giro do controle intranual, mas ainda não o imposto gerado por vendas dentro do ano. Por isso ele permanece experimental e não substitui a série canônica.</w:t>
      </w:r>
    </w:p>
    <w:p>
      <w:pPr>
        <w:pStyle w:val="Heading2"/>
      </w:pPr>
      <w:r>
        <w:t>5.3 O resultado sobrevive à correção por múltiplas tentativas?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4535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Estatística</w:t>
            </w:r>
          </w:p>
        </w:tc>
        <w:tc>
          <w:tcPr>
            <w:tcW w:type="dxa" w:w="4535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Sharpe observado do excesso sobre o CDI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0,933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Sharpe máximo esperado sob a hipótese nula, com 36 tentativas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0,355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Probabilidade do Sharpe deflacionado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0,986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Significante a 95%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Prêmio de retrospectiva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0,65 p.p. ao ano</w:t>
            </w:r>
          </w:p>
        </w:tc>
      </w:tr>
    </w:tbl>
    <w:p/>
    <w:p>
      <w:pPr/>
      <w:r>
        <w:t>O prêmio de retrospectiva merece leitura cuidadosa, porque é a medida mais informativa do conjunto. Ele diz que escolher a configuração vencedora sabendo o desfecho teria rendido apenas 0,65 ponto percentual a mais por ano do que a escolha aninhada, que não sabia. Em uma versão anterior deste mesmo sistema, com um ano a menos de treino, esse prêmio era de 4,98 pontos, ou seja, a busca estava fazendo boa parte do trabalho. Estender a base de dados para permitir decisões desde 2012 reduziu o prêmio por um fator de sete e elevou a probabilidade do Sharpe deflacionado de 0,957 para 0,986. O ganho relevante da última iteração do artefato não foi retorno. Foi a redução da parcela do retorno atribuível à própria busca.</w:t>
      </w:r>
    </w:p>
    <w:p>
      <w:pPr>
        <w:pStyle w:val="Heading2"/>
      </w:pPr>
      <w:r>
        <w:t>5.4 O que não funcionou</w:t>
      </w:r>
    </w:p>
    <w:p>
      <w:pPr/>
      <w:r>
        <w:t>Quatro hipóteses foram testadas e nenhuma se sustentou. São publicadas com o mesmo destaque do resultado positivo, porque um artefato que só reporta o que deu certo não é auditável.</w:t>
      </w:r>
    </w:p>
    <w:p>
      <w:pPr/>
      <w:r>
        <w:rPr>
          <w:b/>
        </w:rPr>
        <w:t>Previsão anual de regime.</w:t>
      </w:r>
      <w:r>
        <w:t xml:space="preserve">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/>
      <w:r>
        <w:rPr>
          <w:b/>
        </w:rPr>
        <w:t>Realocação mensal e semanal.</w:t>
      </w:r>
      <w:r>
        <w:t xml:space="preserve"> Aumentamos as observações para responder à objeção de poder estatístico. Foram 118 períodos mensais e 521 períodos semanais, com sete regras de alocação contínua testadas em cada frequência. Nenhuma das sete regras superou o peso estático de forma estatisticamente significante em nenhuma das duas frequências, e uma delas, a de média-variância, foi significativamente pior. O oráculo, que conhece o futuro, teria feito 72,8% ao ano no mensal e 137,1% no semanal, contra 21,1% do estático. O prêmio por acertar o tempo é enorme, e nada que testamos consegue capturá-lo. Rejeitada.</w:t>
      </w:r>
    </w:p>
    <w:p>
      <w:pPr/>
      <w:r>
        <w:rPr>
          <w:b/>
        </w:rPr>
        <w:t>Reseleção mais frequente da cesta.</w:t>
      </w:r>
      <w:r>
        <w:t xml:space="preserve">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Cadência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Decisões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bruto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Líquido de custo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Após IR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Giro no ano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Anual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18,58%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18,51%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17,09%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62,1%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Trimestral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16,37%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16,25%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15,60%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116,0%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Mensal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13,92%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13,75%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13,32%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177,6%</w:t>
            </w:r>
          </w:p>
        </w:tc>
      </w:tr>
    </w:tbl>
    <w:p/>
    <w:p>
      <w:pPr/>
      <w:r>
        <w:t xml:space="preserve">Nenhuma cadência mais rápida superou a anual. Pareando por ano-calendário, a trimestral fica 1,55 ponto percentual abaixo ao ano após imposto, com p de 0,376, e a mensal 3,27 pontos abaixo, com p de 0,306. A leitura correta é que </w:t>
      </w:r>
      <w:r>
        <w:rPr>
          <w:b/>
        </w:rPr>
        <w:t>não há evidência de que decidir mais vezes ajude</w:t>
      </w:r>
      <w:r>
        <w:t>, e não que esteja provado que atrapalhe: onze anos pareados não sustentam a afirmação mais forte.</w:t>
      </w:r>
    </w:p>
    <w:p>
      <w:pPr/>
      <w:r>
        <w:t>O mecanismo contraria a intuição corrente, que atribuiria a diferença a custo e imposto. A perda está no retorno bruto, que cai 4,66 pontos de anual para mensal antes de qualquer dedução. O custo de execução sobe apenas 0,08 ponto ao ano, e o imposto modelado até diminui, porque cada revisão mensal realiza uma fatia menor do livro. Ou seja, decidir mais vezes piora a seleção antes de encarecer a operação. O sinal combina qualidade, valor e momento, grandezas que se movem em horizonte anual, e reordenar todo mês troca posições antes que a tese tenha tempo de se realizar.</w:t>
      </w:r>
    </w:p>
    <w:p>
      <w:pPr/>
      <w:r>
        <w:t>Registramos uma fraqueza do modelo tributário nessa comparação: ele cobra imposto sobre o ganho do próprio período, e não sobre o ganho acumulado da posição efetivamente vendida, o que subestima a conta do braço mensal. O viés favorece a cadência mais rápida, e ela perdeu mesmo assim, então a conclusão é robusta a essa limitação.</w:t>
      </w:r>
    </w:p>
    <w:p>
      <w:pPr/>
      <w:r>
        <w:rPr>
          <w:b/>
        </w:rPr>
        <w:t>Modelo de linguagem como fonte de retorno.</w:t>
      </w:r>
      <w:r>
        <w:t xml:space="preserve"> Este é o teste que mais interessa à governança do produto, e está detalhado a seguir.</w:t>
      </w:r>
    </w:p>
    <w:p>
      <w:pPr>
        <w:pStyle w:val="Heading2"/>
      </w:pPr>
      <w:r>
        <w:t>5.5 O experimento com modelo de linguagem: três nulos</w:t>
      </w:r>
    </w:p>
    <w:p>
      <w:pPr/>
      <w:r>
        <w:t>O sistema usa um modelo de linguagem em papel deliberadamente restrito. Para verificar se essa restrição custa desempenho, e se o modelo agrega algo, montamos quatro braços sobre 13 anos, com o mesmo universo elegível.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Nomeado:</w:t>
      </w:r>
      <w:r>
        <w:t xml:space="preserve"> o modelo vê os nomes das empresas e devolve um escore limitado, que inclina o retorno esperado dentro do otimizador convexo.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Anonimizado:</w:t>
      </w:r>
      <w:r>
        <w:t xml:space="preserve"> idêntico, mas as empresas são identificadas apenas por números, de modo que o modelo vê os fundamentos e não as marcas.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Determinístico:</w:t>
      </w:r>
      <w:r>
        <w:t xml:space="preserve"> controle sem modelo algum, ordenando o mesmo universo pelo escore de fator pré-declarado.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Monolítico:</w:t>
      </w:r>
      <w:r>
        <w:t xml:space="preserve"> o contrafactual em que o modelo devolve pesos diretamente, sem otimizador e sem restrições.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Comparação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Diferença anualizada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Nomeado menos anonimizado (contaminação temporal)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+0,38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0,905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Anonimizado menos determinístico (valor agregado pelo modelo)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−0,05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0,989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Anonimizado menos monolítico (valor do desacoplamento)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+0,81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0,777</w:t>
            </w:r>
          </w:p>
        </w:tc>
      </w:tr>
    </w:tbl>
    <w:p/>
    <w:p>
      <w:pPr/>
      <w:r>
        <w:t>Três nulos, e cada um significa algo diferente.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Não há evidência de contaminação temporal.</w:t>
      </w:r>
      <w:r>
        <w:t xml:space="preserve"> O braço nomeado não lucrou por reconhecer empresas cujo destino o modelo poderia conhecer do treinamento. Essa era a objeção mais séria a qualquer uso de modelo de linguagem em backtest histórico, e ela não se sustentou nesta configuração.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O modelo não agrega retorno.</w:t>
      </w:r>
      <w:r>
        <w:t xml:space="preserve"> Ele reproduz o ranqueamento determinístico em vez de acrescentar julgamento, com diferença de cinco centésimos de ponto percentual e sinal negativo. Isso é uma constatação desconfortável para o discurso de mercado sobre IA em investimentos, e é exatamente por isso que está publicada.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O desacoplamento não custa desempenho.</w:t>
      </w:r>
      <w:r>
        <w:t xml:space="preserve"> Manter o modelo longe dos pesos não penalizou o resultado, e se algo o braço desacoplado foi melhor. O braço monolítico, que recebeu a caneta, </w:t>
      </w:r>
      <w:r>
        <w:rPr>
          <w:b/>
        </w:rPr>
        <w:t>não estourou nenhum teto</w:t>
      </w:r>
      <w:r>
        <w:t>, o que é uma constatação a favor dele e precisa ser dita. O que ele produziu foram carteiras aritmeticamente inválidas: os pesos não somavam um em 5 dos 13 anos, variando de 0,92 a 1,017, e em 2021 e 2022 omitiu 65 e 83 ativos elegíveis sem sinalizar. O otimizador não se justifica por impedir violação de limite, e sim por devolver uma alocação válida que não precise de conserto depois.</w:t>
      </w:r>
    </w:p>
    <w:p>
      <w:pPr/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5.6 Defeitos encontrados na própria auditoria</w:t>
      </w:r>
    </w:p>
    <w:p>
      <w:pPr/>
      <w:r>
        <w:t>O artefato passou por auditoria interna adversarial. Sete defeitos foram encontrados e corrigidos, e todos inflavam o resultado.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Defeito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Efeito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Correção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Comparador MVO idêntico à estratégia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Comparação da estratégia consigo mesma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Painel de provedor descartava deslistadas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Viés de sobrevivência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 de deslistagem descartado inteiro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Perda truncava o ano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Imposto ausente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Retorno superestimado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Custo fixo ignorando liquidez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Ordem grande sem penalidade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Rebalanceamento diário implícito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Artefato de vetorização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Filtro de sessões usando pico global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Anos legítimos descartados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Pico móvel local</w:t>
            </w:r>
          </w:p>
        </w:tc>
      </w:tr>
    </w:tbl>
    <w:p/>
    <w:p>
      <w:pPr/>
      <w:r>
        <w:t>Depois da última correção, o CAGR publicado caiu, a queda máxima subiu de 30,4% para 47,8%, e o número foi publicado assim mesmo. Essa é a evidência de processo que o produto vende: não que o resultado seja bom, mas que ele é o resultado que sobrou depois de procurar defeitos com afinco.</w:t>
      </w:r>
    </w:p>
    <w:p>
      <w:pPr>
        <w:pStyle w:val="Heading1"/>
      </w:pPr>
      <w:r>
        <w:t>6. Contribuição tecnológica e aderência ao mercado</w:t>
      </w:r>
    </w:p>
    <w:p>
      <w:pPr/>
      <w:r>
        <w:t>O fluxo de uso foi desenhado para que cada tela responda à pergunta criada pela anterior. Primeiro, a instituição escolhe a política e aceita os limites. Segundo, o sistema mostra quais arquivos e demonstrações estavam disponíveis e quais passaram na validação. Terceiro, a triagem informa ativos aprovados e reprovados com motivos. Quarto, a carteira candidata apresenta pesos, parcela em CDI, custo e comparação com as referências. Quinto, a pessoa revisa a tese em linguagem natural, aprova ou rejeita e registra a justificativa. Por fim, o dossiê reúne a decisão inteira, inclusive a versão da regra e os hashes dos arquivos. O usuário não precisa alternar entre um laboratório técnico e um documento separado; a experiência e a prova são duas visões do mesmo registro.</w:t>
      </w:r>
    </w:p>
    <w:p>
      <w:pPr/>
      <w:r>
        <w:rPr>
          <w:b/>
        </w:rPr>
        <w:t>Para o escritório.</w:t>
      </w:r>
      <w:r>
        <w:t xml:space="preserve"> O sistema entrega, por decisão, um dossiê completo, com política aplicada, dados com data e hash, tela de elegibilidade com motivo de cada reprovação, pesos, ordens com lote e participação no volume, e custo estimado. O que antes era reconstruído a mão sob pressão passa a ser subproduto da própria operação.</w:t>
      </w:r>
    </w:p>
    <w:p>
      <w:pPr/>
      <w:r>
        <w:rPr>
          <w:b/>
        </w:rPr>
        <w:t>Para o cliente final.</w:t>
      </w:r>
      <w:r>
        <w:t xml:space="preserve"> A pergunta "por que este papel?" passa a ter resposta datada e verificável, e a pergunta simétrica, "por que não aquele?", também.</w:t>
      </w:r>
    </w:p>
    <w:p>
      <w:pPr/>
      <w:r>
        <w:rPr>
          <w:b/>
        </w:rPr>
        <w:t>Para o ecossistema capixaba.</w:t>
      </w:r>
      <w:r>
        <w:t xml:space="preserve"> A hipótese comercial não é “rendemos mais”. É que um escritório local com processo demonstrável pode reter uma parcela maior do trabalho analítico e do relacionamento de longo prazo no estado. Essa hipótese precisa ser testada em entrevistas e pilotos; o backtest não a comprova.</w:t>
      </w:r>
    </w:p>
    <w:p>
      <w:pPr/>
      <w:r>
        <w:rPr>
          <w:b/>
        </w:rPr>
        <w:t>Modelo de oferta a validar.</w:t>
      </w:r>
      <w:r>
        <w:t xml:space="preserve"> A primeira versão comercial pode ser licenciada por instituição, com cobrança por usuários e número de políticas acompanhadas, e um serviço de implantação para integrar fontes, identidade, aprovação e arquivo documental. Não há preço publicado nem receita comprovada. As métricas do piloto devem ser tempo para produzir um dossiê, percentual de decisões com evidência completa, divergência entre custo previsto e nota conciliada, número de revisões exigidas e disposição a pagar. Retorno da carteira permanece uma medida de pesquisa e acompanhamento, nunca base de remuneração ou garantia contratual.</w:t>
      </w:r>
    </w:p>
    <w:p>
      <w:pPr/>
      <w:r>
        <w:rPr>
          <w:b/>
        </w:rPr>
        <w:t>Maturidade.</w:t>
      </w:r>
      <w:r>
        <w:t xml:space="preserve"> O artefato está em estágio de pesquisa reprodutível, não de produto validado institucionalmente. A janela de 2015 a 2025 foi usada para desenvolver e escolher a regra, e portanto descreve a amostra e não prevê o futuro. A avaliação prospectiva começa a partir do registro congelado, cujo hash está versionado no repositório com data carimbada por terceiro. Um registro pré-especificado que exista apenas no disco de quem o escreveu não demonstra anterioridade nenhuma.</w:t>
      </w:r>
    </w:p>
    <w:p>
      <w:pPr>
        <w:pStyle w:val="Heading1"/>
      </w:pPr>
      <w:r>
        <w:t>7. Limitações</w:t>
      </w:r>
    </w:p>
    <w:p>
      <w:pPr/>
      <w:r>
        <w:t>Declaradas sem atenuação, porque uma limitação omitida vira defeito descoberto pelo avaliador.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A janela avaliada é a janela de desenvolvimento.</w:t>
      </w:r>
      <w:r>
        <w:t xml:space="preserve"> Onze anos avaliados não são onze anos de validação prospectiva. O prêmio de retrospectiva de 0,65 p.p. limita o problema, mas não o elimina.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O detector de eventos societários tem recall de 23,3%.</w:t>
      </w:r>
      <w:r>
        <w:t xml:space="preserve"> Ele é conservador, e proventos, juros sobre capital próprio e eventos de papéis deslistados ainda exigem reconciliação contra registro primário da B3 ou da CVM antes de qualquer afirmação comercial de desempenho.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Distribuições imputadas.</w:t>
      </w:r>
      <w:r>
        <w:t xml:space="preserve"> Papéis sem cobertura de provedor recebem o rendimento mediano da seção transversal do ano. É uma aproximação, e os papéis afetados estão listados no relatório de cobertura.</w:t>
      </w:r>
    </w:p>
    <w:p>
      <w:pPr>
        <w:spacing w:line="360" w:lineRule="auto"/>
        <w:ind w:left="369" w:hanging="227"/>
      </w:pPr>
      <w:r>
        <w:t xml:space="preserve">4. </w:t>
      </w:r>
      <w:r>
        <w:rPr>
          <w:b/>
        </w:rPr>
        <w:t>A queda máxima é grande.</w:t>
      </w:r>
      <w:r>
        <w:t xml:space="preserve"> Quase 48% em base diária. Nenhuma suitability razoável coloca um cliente conservador nessa carteira.</w:t>
      </w:r>
    </w:p>
    <w:p>
      <w:pPr>
        <w:spacing w:line="360" w:lineRule="auto"/>
        <w:ind w:left="369" w:hanging="227"/>
      </w:pPr>
      <w:r>
        <w:t xml:space="preserve">5. </w:t>
      </w:r>
      <w:r>
        <w:rPr>
          <w:b/>
        </w:rPr>
        <w:t>Onze observações anuais são poucas.</w:t>
      </w:r>
      <w:r>
        <w:t xml:space="preserve"> A probabilidade do Sharpe deflacionado corrige o viés de busca, não o tamanho da amostra.</w:t>
      </w:r>
    </w:p>
    <w:p>
      <w:pPr>
        <w:spacing w:line="360" w:lineRule="auto"/>
        <w:ind w:left="369" w:hanging="227"/>
      </w:pPr>
      <w:r>
        <w:t xml:space="preserve">6. </w:t>
      </w:r>
      <w:r>
        <w:rPr>
          <w:b/>
        </w:rPr>
        <w:t>Uso comercial exige estrutura regulatória própria.</w:t>
      </w:r>
      <w:r>
        <w:t xml:space="preserve"> O sistema é apoio à decisão e trilha de auditoria. Não é recomendação individual, gestão discricionária, nem promessa de superar referências.</w:t>
      </w:r>
    </w:p>
    <w:p>
      <w:pPr>
        <w:spacing w:line="360" w:lineRule="auto"/>
        <w:ind w:left="369" w:hanging="227"/>
      </w:pPr>
      <w:r>
        <w:t xml:space="preserve">7. </w:t>
      </w:r>
      <w:r>
        <w:rPr>
          <w:b/>
        </w:rPr>
        <w:t>O Benevente 2 é retrospectivo e posterior à Covid-19.</w:t>
      </w:r>
      <w:r>
        <w:t xml:space="preserve"> A escolha em 2015--2018 e a leitura separada de 2019--2025 evitam usar o retorno futuro na conta diária, mas não removem o conhecimento humano de que uma crise sanitária ocorreu.</w:t>
      </w:r>
    </w:p>
    <w:p>
      <w:pPr>
        <w:spacing w:line="360" w:lineRule="auto"/>
        <w:ind w:left="369" w:hanging="227"/>
      </w:pPr>
      <w:r>
        <w:t xml:space="preserve">8. </w:t>
      </w:r>
      <w:r>
        <w:rPr>
          <w:b/>
        </w:rPr>
        <w:t>O imposto intranual do Benevente 2 ainda não foi reconciliado.</w:t>
      </w:r>
      <w:r>
        <w:t xml:space="preserve"> Custos de giro foram cobrados, mas vendas defensivas podem antecipar imposto e reduzir o resultado líquido.</w:t>
      </w:r>
    </w:p>
    <w:p>
      <w:pPr>
        <w:spacing w:line="360" w:lineRule="auto"/>
        <w:ind w:left="369" w:hanging="227"/>
      </w:pPr>
      <w:r>
        <w:t xml:space="preserve">9. </w:t>
      </w:r>
      <w:r>
        <w:rPr>
          <w:b/>
        </w:rPr>
        <w:t>Não existe arquivo histórico de notícias com horário validado neste experimento.</w:t>
      </w:r>
      <w:r>
        <w:t xml:space="preserve"> O controle usa apenas preço e volatilidade. A LLM não antecipou a Covid-19 e não tomou decisões no Benevente 2.</w:t>
      </w:r>
    </w:p>
    <w:p>
      <w:pPr>
        <w:pStyle w:val="Heading1"/>
      </w:pPr>
      <w:r>
        <w:t>8. Agenda</w:t>
      </w:r>
    </w:p>
    <w:p>
      <w:pPr>
        <w:spacing w:line="360" w:lineRule="auto"/>
        <w:ind w:left="369" w:hanging="227"/>
      </w:pPr>
      <w:r>
        <w:t>• Acumular anos avaliados depois do registro congelado, que é a única evidência capaz de mudar o estatuto do artefato de pesquisa para validado.</w:t>
      </w:r>
    </w:p>
    <w:p>
      <w:pPr>
        <w:spacing w:line="360" w:lineRule="auto"/>
        <w:ind w:left="369" w:hanging="227"/>
      </w:pPr>
      <w:r>
        <w:t>• Reconciliar eventos societários e proventos contra registro primário, elevando o recall do detector.</w:t>
      </w:r>
    </w:p>
    <w:p>
      <w:pPr>
        <w:spacing w:line="360" w:lineRule="auto"/>
        <w:ind w:left="369" w:hanging="227"/>
      </w:pPr>
      <w:r>
        <w:t>• Repetir o experimento de contaminação em modelos com datas de corte de treinamento distintas, para separar contaminação de capacidade.</w:t>
      </w:r>
    </w:p>
    <w:p>
      <w:pPr>
        <w:spacing w:line="360" w:lineRule="auto"/>
        <w:ind w:left="369" w:hanging="227"/>
      </w:pPr>
      <w:r>
        <w:t>• Pré-registrar um estudo trimestral ou orientado a eventos, com notícias arquivadas, horário de publicação e corte temporal verificável, sem reotimizar a regra anual depois de observar o resultado.</w:t>
      </w:r>
    </w:p>
    <w:p>
      <w:pPr>
        <w:spacing w:line="360" w:lineRule="auto"/>
        <w:ind w:left="369" w:hanging="227"/>
      </w:pPr>
      <w:r>
        <w:t>• Pré-registrar o Benevente 2 antes de qualquer acompanhamento futuro, incorporar imposto por lote vendido e comparar seus estados discretos a um alvo contínuo de volatilidade escolhido somente na janela de treino.</w:t>
      </w:r>
    </w:p>
    <w:p>
      <w:pPr>
        <w:spacing w:line="360" w:lineRule="auto"/>
        <w:ind w:left="369" w:hanging="227"/>
      </w:pPr>
      <w:r>
        <w:t>• Instrumentar o piloto em escritório capixaba, medindo tempo de produção do dossiê e taxa de divergência na conciliação de notas.</w:t>
      </w:r>
    </w:p>
    <w:p>
      <w:pPr>
        <w:pStyle w:val="Heading1"/>
      </w:pPr>
      <w:r>
        <w:t>9. Disponibilidade</w:t>
      </w:r>
    </w:p>
    <w:p>
      <w:pPr/>
      <w:r>
        <w:t>A versão submetida inclui um pacote suplementar anônimo com o código de reprodução, os artefatos de avaliação e o manifesto criptográfico. Os endereços públicos do sistema e do repositório foram omitidos para preservar a avaliação cega. Após o aceite, a versão de câmera deverá restaurar esses endereços e indicar o arquivo permanente com DOI.</w:t>
      </w:r>
    </w:p>
    <w:p>
      <w:pPr>
        <w:pStyle w:val="Heading1"/>
      </w:pPr>
      <w:r>
        <w:t>Referências</w:t>
      </w:r>
    </w:p>
    <w:p>
      <w:pPr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ind w:left="425" w:hanging="425"/>
        <w:jc w:val="left"/>
      </w:pPr>
      <w:r>
        <w:t xml:space="preserve">B3 S.A. – BRASIL, BOLSA, BALCÃO. (2026).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ind w:left="425" w:hanging="425"/>
        <w:jc w:val="left"/>
      </w:pPr>
      <w:r>
        <w:t xml:space="preserve">BENEVENTE WEALTH SYSTEM. (2026). </w:t>
      </w:r>
      <w:r>
        <w:rPr>
          <w:i/>
        </w:rPr>
        <w:t>Documentação técnica, repositório de dados e validação de horizontes</w:t>
      </w:r>
      <w:r>
        <w:t>. Repositório anônimo de avaliação.</w:t>
      </w:r>
    </w:p>
    <w:p>
      <w:pPr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ind w:left="425" w:hanging="425"/>
        <w:jc w:val="left"/>
      </w:pPr>
      <w:r>
        <w:t xml:space="preserve">HARVEY, C. R., Liu, Y., &amp; Zhu, H. (2016). … and the cross-section of expected returns. </w:t>
      </w:r>
      <w:r>
        <w:rPr>
          <w:i/>
        </w:rPr>
        <w:t>Review of Financial Studies, 29</w:t>
      </w:r>
      <w:r>
        <w:t>(1), 5–68. https://doi.org/10.1093/rfs/hhv059</w:t>
      </w:r>
    </w:p>
    <w:p>
      <w:pPr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sectPr>
      <w:pgSz w:h="16838" w:w="11906" w:orient="portrait"/>
      <w:pgMar w:bottom="1134" w:top="1701" w:left="1701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8"/>
      <w:szCs w:val="48"/>
    </w:rPr>
  </w:style>
  <w:style w:type="paragraph" w:styleId="Heading2">
    <w:name w:val="heading 2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6"/>
      <w:szCs w:val="36"/>
    </w:rPr>
  </w:style>
  <w:style w:type="paragraph" w:styleId="Heading3">
    <w:name w:val="heading 3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4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v.br/capes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Benevente Wealth System</dc:title>
  <cp:lastModifiedBy/>
  <cp:revision>1</cp:revision>
  <dcterms:modified xsi:type="dcterms:W3CDTF">2026-08-12T18:55:08Z</dcterms:modified>
  <dc:creator/>
  <dc:subject>Manuscrito tecnológico BTech 2026</dc:subject>
</cp:coreProperties>
</file>