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 w:line="240" w:lineRule="auto"/>
        <w:ind w:firstLine="0"/>
        <w:jc w:val="center"/>
      </w:pPr>
      <w:r>
        <w:rPr>
          <w:b/>
        </w:rPr>
        <w:t>BENEVENTE WEALTH SYSTEM: UM ARTEFATO AUDITÁVEL PARA DECISÕES DE CARTEIRA</w:t>
      </w:r>
    </w:p>
    <w:p>
      <w:pPr>
        <w:pStyle w:val="Normal"/>
        <w:keepNext/>
        <w:spacing w:before="120" w:after="120"/>
        <w:ind w:firstLine="0"/>
      </w:pPr>
      <w:r>
        <w:rPr>
          <w:b/>
        </w:rPr>
        <w:t>Resumo</w:t>
      </w:r>
    </w:p>
    <w:p>
      <w:pPr>
        <w:pStyle w:val="Normal"/>
        <w:spacing w:line="276" w:lineRule="auto" w:after="120"/>
        <w:ind w:firstLine="0"/>
      </w:pPr>
      <w:r>
        <w:t>Decisões de carteira precisam continuar explicáveis depois de executadas. Este trabalho constrói e avalia o Benevente Wealth System, um artefato de apoio à decisão que reúne, no mesmo registro, os dados admitidos, a regra quantitativa, a carteira proposta, a explicação e a aprovação humana. A pesquisa segue design science e avalia o artefato por testes funcionais, auditoria adversarial e um diagnóstico histórico sequencial de onze decisões entre 2015 e 2025. A auditoria encontrou sete defeitos capazes de inflar resultados e revelou uma limitação material: 13,9% da exposição acumulada a ações selecionadas dependeu de séries com proventos imputados. Por isso, o retorno histórico é apresentado como diagnóstico de desenvolvimento, não como validação comercial. Uma reamostragem pareada indica estabilidade interna, mas os intervalos de 95% do excesso de retorno cruzam zero contra CDI, Ibovespa e BOVA11. O protocolo prospectivo foi congelado em 16 de agosto de 2026 e ainda não possui observações suficientes para conclusão. O modelo de linguagem não demonstrou ganho de retorno e permanece restrito à explicação. A contribuição comprovada é a separação verificável entre dado, cálculo, linguagem e responsabilidade.</w:t>
      </w:r>
    </w:p>
    <w:p>
      <w:pPr>
        <w:pStyle w:val="Normal"/>
        <w:spacing w:line="276" w:lineRule="auto" w:after="120"/>
        <w:ind w:firstLine="0"/>
        <w:jc w:val="left"/>
      </w:pPr>
      <w:r>
        <w:t>Palavras-chave: governança de investimentos; alocação de carteira; trilha de auditoria; design science; pesquisa reprodutível.</w:t>
      </w:r>
    </w:p>
    <w:p>
      <w:r>
        <w:br w:type="page"/>
      </w:r>
    </w:p>
    <w:p>
      <w:pPr>
        <w:pStyle w:val="Heading1"/>
      </w:pPr>
      <w:r>
        <w:t>1. INTRODUÇÃO: PROBLEMA, OBJETIVO E CONTRIBUIÇÃO</w:t>
      </w:r>
    </w:p>
    <w:p>
      <w:pPr>
        <w:pStyle w:val="Normal"/>
      </w:pPr>
      <w:r>
        <w:t>Este trabalho parte de um problema operacional delimitado: a recomendação é produzida hoje, mas pode precisar ser defendida meses ou anos depois. Se a instituição não preserva o dado admitido, a versão da regra e a aprovação, a justificativa posterior pode incorporar informações que não existiam quando a decisão foi tomada. O Benevente foi construído para produzir a proposta e o registro que permitirá revisá-la. A existência desse problema no público-alvo, sua intensidade e a disposição a pagar pela solução ainda precisam ser medidas em piloto. O artigo não atribui ao artefato impacto regional, demanda comercial ou retenção de capital que não tenham sido observados.</w:t>
      </w:r>
    </w:p>
    <w:p>
      <w:pPr>
        <w:pStyle w:val="Normal"/>
      </w:pPr>
      <w:r>
        <w:t>O problema é concreto e tem data. Quando um cliente pergunta em 2026 por que determinada ação entrou na carteira em janeiro de 2023, o escritório precisa demonstrar três coisas simultaneamente.</w:t>
      </w:r>
    </w:p>
    <w:p>
      <w:pPr>
        <w:pStyle w:val="Normal"/>
        <w:ind w:firstLine="0"/>
        <w:numPr>
          <w:ilvl w:val="0"/>
          <w:numId w:val="3"/>
        </w:numPr>
      </w:pPr>
      <w:r>
        <w:t>Quais dados existiam naquela data. Um balanço republicado em 2024 não pode aparecer como se estivesse disponível em janeiro de 2023. Sem controle de data de recebimento, todo backtest e toda justificativa ficam contaminados por informação que ninguém tinha.</w:t>
      </w:r>
    </w:p>
    <w:p>
      <w:pPr>
        <w:pStyle w:val="Normal"/>
        <w:ind w:firstLine="0"/>
        <w:numPr>
          <w:ilvl w:val="0"/>
          <w:numId w:val="3"/>
        </w:numPr>
      </w:pPr>
      <w:r>
        <w:t>Qual regra foi aplicada. Não a regra que o escritório usa hoje, mas a que estava vigente naquele janeiro, com os limites que estavam vigentes.</w:t>
      </w:r>
    </w:p>
    <w:p>
      <w:pPr>
        <w:pStyle w:val="Normal"/>
        <w:ind w:firstLine="0"/>
        <w:numPr>
          <w:ilvl w:val="0"/>
          <w:numId w:val="3"/>
        </w:numPr>
      </w:pPr>
      <w:r>
        <w:t>Quem aprovou. Uma decisão de alocação sem responsável identificado não é auditável, e a automação sem aprovação humana desloca a responsabilidade para um sistema que não pode respondê-la.</w:t>
      </w:r>
    </w:p>
    <w:p>
      <w:pPr>
        <w:pStyle w:val="Normal"/>
      </w:pPr>
      <w:r>
        <w:t>Planilhas podem falhar nas três quando são usadas sem controle de versão: sobrescrevem o estado anterior, misturam regra e dado e não preservam autoria. Sistemas fechados podem entregar uma carteira sem evidenciar o critério aplicado. O requisito do artefato é permitir que uma pessoa independente refaça o caminho da decisão sem depender da memória de quem a produziu.</w:t>
      </w:r>
    </w:p>
    <w:p>
      <w:pPr>
        <w:pStyle w:val="Normal"/>
      </w:pPr>
      <w:r>
        <w:t>A questão que orienta este trabalho é, portanto, de engenharia e de governança antes de ser de finanças: como construir um artefato que produza recomendação e prova ao mesmo tempo, e cuja própria evidência de desempenho resista a auditoria hostil?</w:t>
      </w:r>
    </w:p>
    <w:p>
      <w:pPr>
        <w:pStyle w:val="Normal"/>
      </w:pPr>
      <w:r>
        <w:t>O objetivo é construir e avaliar um artefato B2B que transforme cada recomendação em um documento verificável. O método segue ciência do projeto, ou design science: identificar o problema, explicitar requisitos, construir o artefato e avaliá-lo por utilidade, qualidade e capacidade de produzir evidência (Hevner et al., 2004; Peffers et al., 2007). A avaliação combina testes de funcionamento, inspeção das fontes, tentativas deliberadas de encontrar erros e um diagnóstico financeiro histórico. A contribuição é dupla: um protocolo quantitativo que pode ser reexecutado e um fluxo de trabalho que preserva quem decidiu, com qual informação e sob qual política. O retorno passado é uma medida secundária de comportamento do protótipo, não a prova principal de utilidade nem uma promessa de desempenho futuro.</w:t>
      </w:r>
    </w:p>
    <w:p>
      <w:pPr>
        <w:pStyle w:val="Heading1"/>
      </w:pPr>
      <w:r>
        <w:t>2. PROBLEMA PRÁTICO E FUNDAMENTAÇÃO</w:t>
      </w:r>
    </w:p>
    <w:p>
      <w:pPr>
        <w:pStyle w:val="Normal"/>
      </w:pPr>
      <w:r>
        <w:t>O público inicial do Benevente são escritórios de investimento, consultorias de valores mobiliários e estruturas de gestão patrimonial que precisam recomendar, revisar e defender carteiras. Nesse ambiente, a dificuldade não termina quando o peso de cada ativo é calculado. A instituição precisa preservar o contexto da decisão, demonstrar por que um ativo foi aceito ou recusado e comparar o resultado com alternativas reconhecíveis pelo cliente. O piloto comercial proposto poderá ser realizado no Espírito Santo por conveniência e aderência ao congresso, mas sua função será medir o problema e a utilidade do artefato, não confirmar antecipadamente um efeito sobre a economia local.</w:t>
      </w:r>
    </w:p>
    <w:p>
      <w:pPr>
        <w:pStyle w:val="Normal"/>
      </w:pPr>
      <w:r>
        <w:t>Três problemas metodológicos bem documentados na literatura de finanças quantitativas foram tratados como requisitos de projeto, não como ressalvas de rodapé.</w:t>
      </w:r>
    </w:p>
    <w:p>
      <w:pPr>
        <w:pStyle w:val="Normal"/>
      </w:pPr>
      <w:r>
        <w:t>Viés de sobrevivência. Painéis montados a partir de provedores públicos de preço ajustado servem as empresas que ainda existem. Reconstruir o universo a partir de um provedor desses apaga silenciosamente toda empresa deslistada, adquirida ou liquidada, justamente as que produziram os piores retornos. O efeito é sistemático e sempre favorável ao backtest.</w:t>
      </w:r>
    </w:p>
    <w:p>
      <w:pPr>
        <w:pStyle w:val="Normal"/>
      </w:pPr>
      <w:r>
        <w:t>Informação disponível na data. Fundamentos precisam ser lidos como estavam no momento da decisão, com data de recebimento pelo regulador, não com a versão consolidada e eventualmente republicada. Chamar isso de detalhe é subestimar o problema: a diferença aparece com sinal previsível, sempre a favor de quem testa.</w:t>
      </w:r>
    </w:p>
    <w:p>
      <w:pPr>
        <w:pStyle w:val="Normal"/>
      </w:pPr>
      <w:r>
        <w:t>Múltiplas tentativas. Quando se avaliam dezenas de configurações e se publica a melhor, o índice de Sharpe observado é enviesado para cima pela própria busca. Bailey e López de Prado formalizaram o problema com o Sharpe deflacionado, que corrige a estatística pelo número de tentativas e pelos momentos superiores da distribuição de retornos. Sem essa correção, qualquer busca suficientemente ampla produz um vencedor aparentemente significativo.</w:t>
      </w:r>
    </w:p>
    <w:p>
      <w:pPr>
        <w:pStyle w:val="Normal"/>
      </w:pPr>
      <w:r>
        <w:t>Quatro referências clássicas orientam a construção financeira do artefato. Markowitz (1952) mostrou que uma carteira precisa ser analisada pela interação entre retornos e covariâncias, e não pela atratividade isolada de cada ativo. A otimização média-variância, chamada neste artigo de MVO, estima a relação entre retorno esperado e risco conjunto e escolhe pesos sob restrições. No Benevente, ela funciona como comparação independente. A pergunta é simples: o que uma carteira guiada apenas por médias, covariâncias e limites teria produzido sobre o mesmo conjunto elegível? Isso evita atribuir ao filtro fundamental um ganho que possa vir apenas da diversificação. A ênfase em qualidade dialoga com Novy-Marx (2013), enquanto o uso conjunto de valor, qualidade e confirmação de mercado se aproxima da lógica multifatorial de Fama e French (2015), sem pretender reproduzir exatamente seus fatores.</w:t>
      </w:r>
    </w:p>
    <w:p>
      <w:pPr>
        <w:pStyle w:val="Normal"/>
      </w:pPr>
      <w:r>
        <w:t>Black e Litterman (1992) combinam equilíbrio de mercado e visões. O Benevente adota somente a separação conceitual: fatos e sinais geram o ranking, enquanto a linguagem explica a visão sem alterar a alocação. O modelo Black–Litterman não é implementado na carteira publicada.</w:t>
      </w:r>
    </w:p>
    <w:p>
      <w:pPr>
        <w:pStyle w:val="Normal"/>
      </w:pPr>
      <w:r>
        <w:t>DeMiguel, Garlappi e Uppal (2009) demonstram como erro de estimação pode eliminar, fora da amostra, a vantagem aparente de métodos sofisticados sobre uma diversificação simples. A resposta do projeto não é presumir que um otimizador sempre melhora o resultado. É publicar uma referência independente, impor um número mínimo de posições, limitar a interpretação das métricas e comparar decisões em sequência temporal. O resultado de 7,83% ao ano do MVO de referência nesta execução não prova que MVO é inferior em geral. Mostra somente que aquela implementação, com aquele universo elegível e aquelas estimativas disponíveis em cada janeiro, produziu esse caminho. Em outra amostra ou especificação, a ordem pode se inverter.</w:t>
      </w:r>
    </w:p>
    <w:p>
      <w:pPr>
        <w:pStyle w:val="Normal"/>
      </w:pPr>
      <w:r>
        <w:t>Novy-Marx e Velikov (2016) mostram que custos de negociação podem consumir anomalias documentadas. O diagnóstico deduz taxas e deslizamento estimado, mede giro e penaliza trocas. Como estimativa não é nota de corretagem, o produto prevê conciliação posterior com o custo observado.</w:t>
      </w:r>
    </w:p>
    <w:p>
      <w:pPr>
        <w:pStyle w:val="Normal"/>
      </w:pPr>
      <w:r>
        <w:t>Essas escolhas definem o tipo de evidência que o trabalho pode produzir. O backtest é um experimento histórico sobre um protocolo e não uma simulação da experiência individual de todo cliente. Suitability, necessidade de liquidez, tributação específica, ativos já detidos e restrições contratuais podem mudar a carteira implementável. Por isso, o artefato separa três objetos que costumam aparecer misturados: a regra acadêmica usada para medir o sinal; a política institucional que limita o risco; e o texto explicativo que ajuda uma pessoa a revisar a decisão. Uma boa curva não substitui nenhum dos três.</w:t>
      </w:r>
    </w:p>
    <w:p>
      <w:pPr>
        <w:pStyle w:val="Normal"/>
      </w:pPr>
      <w:r>
        <w:t>O posicionamento do artefato decorre desses três pontos. O Benevente não é apresentado como gerador comprovado de alfa. Seu diferencial verificável é manter unidos os insumos, a regra, a explicação e a aprovação. O diagnóstico histórico serve para pressionar essa arquitetura e revelar erros, inclusive quando a correção piora o resultado publicado.</w:t>
      </w:r>
    </w:p>
    <w:p>
      <w:pPr>
        <w:pStyle w:val="Heading1"/>
      </w:pPr>
      <w:r>
        <w:t>3. O ARTEFATO</w:t>
      </w:r>
    </w:p>
    <w:p>
      <w:pPr>
        <w:pStyle w:val="Heading2"/>
      </w:pPr>
      <w:r>
        <w:t>3.1 VISÃO GERAL</w:t>
      </w:r>
    </w:p>
    <w:p>
      <w:pPr>
        <w:pStyle w:val="Normal"/>
      </w:pPr>
      <w:r>
        <w:t>O Benevente Wealth System é um sistema de apoio à decisão que executa um protocolo anual. Em janeiro, monta a carteira usando exclusivamente dados disponíveis naquela data. Mantém a carteira pelo ano, já com custos de execução. Revisa no ciclo seguinte. O resultado do ano entra depois, apenas para avaliação, e nunca retroalimenta a decisão que o gerou.</w:t>
      </w:r>
    </w:p>
    <w:p>
      <w:pPr>
        <w:pStyle w:val="Normal"/>
      </w:pPr>
      <w:r>
        <w:t>O sistema é composto por cinco camadas.</w:t>
      </w:r>
    </w:p>
    <w:p>
      <w:pPr>
        <w:keepNext/>
        <w:spacing w:after="0"/>
      </w:pPr>
      <w:r>
        <w:rPr>
          <w:b/>
        </w:rPr>
        <w:t>Tabela 1</w:t>
      </w:r>
    </w:p>
    <w:p>
      <w:pPr>
        <w:keepNext/>
        <w:spacing w:after="80"/>
      </w:pPr>
      <w:r>
        <w:rPr>
          <w:i/>
        </w:rPr>
        <w:t>Camadas do artefato e respectivas saídas auditáveis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96"/>
        <w:gridCol w:w="3582"/>
        <w:gridCol w:w="3582"/>
      </w:tblGrid>
      <w:tr>
        <w:trPr>
          <w:cantSplit/>
          <w:tblHeader w:val="true"/>
        </w:trPr>
        <w:tc>
          <w:tcPr>
            <w:tcW w:type="dxa" w:w="1896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Camada</w:t>
            </w:r>
          </w:p>
        </w:tc>
        <w:tc>
          <w:tcPr>
            <w:tcW w:type="dxa" w:w="358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Função</w:t>
            </w:r>
          </w:p>
        </w:tc>
        <w:tc>
          <w:tcPr>
            <w:tcW w:type="dxa" w:w="358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Saída auditável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Base de dados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Universo, preços e fundamentos com data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Manifesto com SHA-256 por arquivo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Elegibilidade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Tela de aprovação por ativo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Motivo de cada reprovação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Seleção e alocação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Escore multifatorial e regra quantitativa com limites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Ranking, pesos e restrições ativas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Execução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Ordens com lote e participação no volume</w:t>
            </w:r>
          </w:p>
        </w:tc>
        <w:tc>
          <w:tcPr>
            <w:tcW w:type="dxa" w:w="358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Custo estimado por ordem</w:t>
            </w:r>
          </w:p>
        </w:tc>
      </w:tr>
      <w:tr>
        <w:trPr>
          <w:cantSplit/>
        </w:trPr>
        <w:tc>
          <w:tcPr>
            <w:tcW w:type="dxa" w:w="1896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Governança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Aprovação humana e conciliação</w:t>
            </w:r>
          </w:p>
        </w:tc>
        <w:tc>
          <w:tcPr>
            <w:tcW w:type="dxa" w:w="358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Quem aprovou e diferença contra a nota de corretagem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62250"/>
            <wp:docPr id="1" name="Picture 1" descr="Fluxo do Benevente: dados B3 e CVM passam por validação, seleção quantitativa, alocação e revisão humana; o modelo de linguagem apenas explica fatos aprovados; o dossiê reúne todo o registro." title="Arquitetura auditável do Benevente Wealth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ech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/>
        <w:ind w:firstLine="0"/>
      </w:pPr>
      <w:r>
        <w:rPr>
          <w:rFonts w:ascii="Times New Roman" w:hAnsi="Times New Roman"/>
          <w:b/>
          <w:sz w:val="16"/>
        </w:rPr>
        <w:t>Figura 1</w:t>
      </w:r>
    </w:p>
    <w:p>
      <w:pPr>
        <w:keepNext/>
        <w:spacing w:after="60"/>
        <w:ind w:firstLine="0"/>
      </w:pPr>
      <w:r>
        <w:rPr>
          <w:rFonts w:ascii="Times New Roman" w:hAnsi="Times New Roman"/>
          <w:i/>
          <w:sz w:val="16"/>
        </w:rPr>
        <w:t>Arquitetura e separação de responsabilidades do artefato</w:t>
      </w:r>
    </w:p>
    <w:p>
      <w:pPr>
        <w:spacing w:line="240" w:lineRule="auto" w:after="160"/>
        <w:ind w:firstLine="0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As setas indicam o fluxo de dados. Não existe caminho do modelo de linguagem para alterar pesos ou aprovar ordens.</w:t>
      </w:r>
    </w:p>
    <w:p>
      <w:pPr>
        <w:pStyle w:val="Normal"/>
      </w:pPr>
      <w:r>
        <w:t>O fluxo da Figura 1 separa funções que costumam aparecer misturadas. Dados e fundamentos alimentam a validação. Somente os ativos aceitos seguem para o cálculo. O motor quantitativo devolve pesos válidos e custos estimados. A pessoa revisa a proposta antes da aprovação. O modelo de linguagem recebe apenas fatos já calculados e os converte em uma nota legível, sem caminho de retorno para alterar pesos. O dossiê registra cada uma dessas etapas.</w:t>
      </w:r>
    </w:p>
    <w:p>
      <w:pPr>
        <w:pStyle w:val="Heading2"/>
      </w:pPr>
      <w:r>
        <w:t>3.2 BASE DE DADOS: O UNIVERSO DE REGISTRO É A BOLSA, NÃO O PROVEDOR</w:t>
      </w:r>
    </w:p>
    <w:p>
      <w:pPr>
        <w:pStyle w:val="Normal"/>
      </w:pPr>
      <w:r>
        <w:t>O universo de registro é o arquivo histórico de cotações da própria B3, não um feed de terceiro. A consequência é direta e mensurável. O painel construído cobre 514 emissores entre 2010 e 2025, dos quais 166 deixam de negociar antes de dezembro de 2025, 77 deles antes de 2020, e 58 já haviam perdido mais de 60% do próprio topo quando pararam de negociar. Um painel montado a partir de provedor público simplesmente não contém essas empresas. A diferença entre incluí-las e não incluí-las é a diferença entre medir a estratégia e medir a sorte de ter olhado só para os sobreviventes.</w:t>
      </w:r>
    </w:p>
    <w:p>
      <w:pPr>
        <w:pStyle w:val="Normal"/>
      </w:pPr>
      <w:r>
        <w:t>Preços deslistados exigem tratamento de eventos societários sem a ajuda do provedor. A primeira versão detectava razões de preço redondas e obteve precisão de 88,1%, mas recall de apenas 23,3% contra o arquivo de eventos disponível. Para retirar essa heurística da posição de fonte principal, uma nova rotina consultou diretamente os registros públicos da B3 e arquivou 18.190 dividendos, juros sobre capital próprio, desdobramentos, grupamentos, bonificações e eventos manuais. A consulta cobriu 475 de 497 ativos do painel. Vinte e dois códigos não foram devolvidos pela página atual e 271 eventos, entre eles 218 subscrições, ainda exigem resolução de direitos e conversões. A série publicada não foi requalificada: ela continua como dado de pesquisa até ser reconstruída desde o preço bruto, com cobertura integral e cada evento aplicado em relatório próprio.</w:t>
      </w:r>
    </w:p>
    <w:p>
      <w:pPr>
        <w:pStyle w:val="Normal"/>
      </w:pPr>
      <w:r>
        <w:t xml:space="preserve">Os fundamentos vêm dos formulários ITR e DFP da CVM, com a data de recebimento usada como porta: um documento só entra na decisão de janeiro do ano </w:t>
      </w:r>
      <w:r>
        <w:rPr>
          <w:i/>
        </w:rPr>
        <w:t>t</w:t>
      </w:r>
      <w:r>
        <w:t xml:space="preserve"> se o regulador o recebeu antes daquela data. A ponte entre o ticker da B3 e o CNPJ da CVM é construída ano a ano, e sua cobertura é publicada em vez de suposta. Em 2012, primeiro ano da série, 266 de 314 ações tiveram ponte aceita e 171 tiveram fundamentos completos, porque a série do ITR começa em 2011 e 2012 é o primeiro ano em que a construção de doze meses tem os dois lados disponíveis.</w:t>
      </w:r>
    </w:p>
    <w:p>
      <w:pPr>
        <w:pStyle w:val="Heading2"/>
      </w:pPr>
      <w:r>
        <w:t>3.3 ELEGIBILIDADE, SELEÇÃO E ALOCAÇÃO</w:t>
      </w:r>
    </w:p>
    <w:p>
      <w:pPr>
        <w:pStyle w:val="Normal"/>
      </w:pPr>
      <w:r>
        <w:t>A tela de elegibilidade reprova ativos por liquidez insuficiente, ausência de fundamento na data, alavancagem ou cobertura de juros fora do aceitável. Cada reprovação é registrada com o motivo, o que permite ao escritório responder por que um papel conhecido não entrou, pergunta que aparece com a mesma frequência da inversa.</w:t>
      </w:r>
    </w:p>
    <w:p>
      <w:pPr>
        <w:pStyle w:val="Normal"/>
      </w:pPr>
      <w:r>
        <w:t>O foco econômico é uma análise fundamentalista multifatorial. Qualidade procura empresas capazes de remunerar o capital e sustentar a operação; valor procura um preço coerente com lucros, patrimônio ou geração de caixa; momento de doze meses funciona como confirmação de mercado e reduz a compra mecânica de uma empresa barata que continua deteriorando. Liquidez determina se a tese é executável. Bancos e empresas operacionais recebem métricas diferentes porque dívida e margem operacional não significam a mesma coisa nos dois balanços. O retorno histórico entra como fator complementar, não substitui os demonstrativos.</w:t>
      </w:r>
    </w:p>
    <w:p>
      <w:pPr>
        <w:pStyle w:val="Normal"/>
      </w:pPr>
      <w:r>
        <w:t>Depois da triagem, cada ativo recebe um escore comparável dentro do universo disponível naquele janeiro. A estratégia publicada faz um corte nos melhores emissores, mantém apenas uma classe por emissor e distribui o orçamento de renda variável proporcionalmente ao escore, sujeito ao número de posições e aos limites da configuração. O saldo fica no CDI. A configuração completa — família de fatores, número de posições e orçamento de ações — é escolhida anualmente pelo desempenho ajustado ao risco nos anos já encerrados. A otimização média-variância não define essa carteira. Ela é calculada de modo independente, sobre o mesmo universo elegível, para medir o que uma carteira puramente quantitativa de média e covariância teria produzido.</w:t>
      </w:r>
    </w:p>
    <w:p>
      <w:pPr>
        <w:pStyle w:val="Normal"/>
      </w:pPr>
      <w:r>
        <w:t>Essa separação também resolve a ambiguidade entre os nomes. Benevente Quant AI designa a pesquisa acadêmica, inclusive o experimento que combina um modelo de linguagem com um otimizador convexo. Benevente Wealth System designa o produto B2B de governança que entrega proposta, explicação e registro. A carteira histórica publicada é a regra multifatorial determinística. O modelo de linguagem não seleciona ativo e não escreve peso; seu papel é transformar fatos aprovados em tese, riscos e perguntas para revisão humana.</w:t>
      </w:r>
    </w:p>
    <w:p>
      <w:pPr>
        <w:pStyle w:val="Normal"/>
      </w:pPr>
      <w:r>
        <w:t>O método precisa ser compreensível sem reproduzir o código da aplicação. Primeiro, o sistema elimina ativos sem dados suficientes, sem liquidez compatível ou com lucro negativo. Depois, ordena os remanescentes por uma de quatro leituras: valor combinado a qualidade, valor combinado a qualidade e momento, somente momento ou baixa volatilidade. A versão multifatorial atribui 40% à qualidade, medida por retorno sobre o capital ou sobre o patrimônio, 40% ao lucro em relação ao preço e 20% ao comportamento do preço nos doze meses anteriores. Em seguida, escolhe uma cesta e distribui o orçamento de ações entre os melhores colocados. O saldo permanece no CDI.</w:t>
      </w:r>
    </w:p>
    <w:p>
      <w:pPr>
        <w:pStyle w:val="Normal"/>
      </w:pPr>
      <w:r>
        <w:t>Há três escolhas de orçamento de ações, 55%, 75% ou 95%, três tamanhos de cesta, 5, 8 ou 12 emissores, e quatro leituras de sinal. A combinação produz 36 políticas candidatas. O efeito de cada escolha é intuitivo: mais ações aumentam a exposição ao mercado; mais emissores reduzem a dependência de um papel; sinais distintos favorecem características diferentes. Em cada janeiro, somente os anos já encerrados podem ordenar essas políticas. O teto por emissor impede que a carteira pareça diversificada apenas no número de nomes. A configuração completa, a transformação de cada campo e os arquivos de entrada e saída recebem SHA-256 e permanecem disponíveis no pacote de reprodução.</w:t>
      </w:r>
    </w:p>
    <w:p>
      <w:pPr>
        <w:pStyle w:val="Heading2"/>
      </w:pPr>
      <w:r>
        <w:t>3.4 POR QUE A DECISÃO É ANUAL</w:t>
      </w:r>
    </w:p>
    <w:p>
      <w:pPr>
        <w:pStyle w:val="Normal"/>
      </w:pPr>
      <w:r>
        <w:t>A cadência anual é uma hipótese coerente com a natureza do sinal e, neste estudo, uma escolha empiricamente testada. Qualidade, retorno sobre capital, alavancagem e geração de caixa são grandezas divulgadas em ciclos contábeis e cuja tese econômica precisa de tempo para aparecer no preço. Uma troca mensal baseada nelas pode vender uma empresa antes que a melhora operacional seja reconhecida e aumenta o número de decisões que precisam ser justificadas. A revisão em janeiro também cria uma fronteira operacional simples: tudo o que foi publicado até a data pode entrar; tudo o que veio depois pertence ao próximo ciclo.</w:t>
      </w:r>
    </w:p>
    <w:p>
      <w:pPr>
        <w:pStyle w:val="Normal"/>
      </w:pPr>
      <w:r>
        <w:t>Anual não significa que o sistema ignora o risco durante doze meses. Preços, concentração, liquidez e eventos materiais podem ser monitorados continuamente, e uma política institucional pode prever um gatilho extraordinário. Significa apenas que a reseleção sistemática da cesta acontece uma vez por ano. No teste de robustez, mantendo regra e dados constantes, a reseleção anual superou as versões trimestral e mensal antes mesmo dos custos. Com apenas onze anos pareados, isso não prova que a frequência anual seja universalmente ótima; mostra que não houve evidência para substituir a regra mais simples nesta amostra.</w:t>
      </w:r>
    </w:p>
    <w:p>
      <w:pPr>
        <w:pStyle w:val="Normal"/>
      </w:pPr>
      <w:r>
        <w:t>Notícias não entram no modelo atual. Esse limite é intencional: um estudo com notícias exige arquivo histórico licenciado, horário de publicação, deduplicação e uma data de corte verificável para o modelo de linguagem. Misturar notícias retrospectivamente ao protocolo anual criaria uma nova oportunidade de usar informação futura. O estudo futuro adequado é um braço separado, pré-registrado, com revisão trimestral ou por evento e notícias carimbadas no tempo, comparado à regra anual sem alterar esta última.</w:t>
      </w:r>
    </w:p>
    <w:p>
      <w:pPr>
        <w:pStyle w:val="Heading2"/>
      </w:pPr>
      <w:r>
        <w:t>3.5 CUSTOS, IMPOSTO E EXECUÇÃO</w:t>
      </w:r>
    </w:p>
    <w:p>
      <w:pPr>
        <w:pStyle w:val="Normal"/>
      </w:pPr>
      <w:r>
        <w:t>Retorno bruto não é resultado. O sistema modela três parcelas.</w:t>
      </w:r>
    </w:p>
    <w:p>
      <w:pPr>
        <w:pStyle w:val="Normal"/>
        <w:ind w:firstLine="0"/>
        <w:numPr>
          <w:ilvl w:val="0"/>
          <w:numId w:val="1"/>
        </w:numPr>
      </w:pPr>
      <w:r>
        <w:t>Taxas da B3 e corretagem por ordem.</w:t>
      </w:r>
    </w:p>
    <w:p>
      <w:pPr>
        <w:pStyle w:val="Normal"/>
        <w:ind w:firstLine="0"/>
        <w:numPr>
          <w:ilvl w:val="0"/>
          <w:numId w:val="1"/>
        </w:numPr>
      </w:pPr>
      <w:r>
        <w:t>Deslizamento por participação no volume, proporcional ao tamanho da ordem relativo ao volume médio diário do papel. Uma ordem grande em papel ilíquido custa mais, como custa na prática.</w:t>
      </w:r>
    </w:p>
    <w:p>
      <w:pPr>
        <w:pStyle w:val="Normal"/>
        <w:ind w:firstLine="0"/>
        <w:numPr>
          <w:ilvl w:val="0"/>
          <w:numId w:val="1"/>
        </w:numPr>
      </w:pPr>
      <w:r>
        <w:t>Imposto de renda brasileiro, com 15% sobre ganho realizado em renda variável e 17,5% sobre renda fixa na faixa de 361 a 720 dias, cobrado no ano em que a revisão seguinte efetivamente realiza o ganho, e com liquidação integral assumida no último ano avaliado. Essa é a hipótese terminal conservadora, em vez de um diferimento indefinido que embelezaria a série.</w:t>
      </w:r>
    </w:p>
    <w:p>
      <w:pPr>
        <w:pStyle w:val="Normal"/>
      </w:pPr>
      <w:r>
        <w:t>O sistema recusa, por regra, ordens que ultrapassem 5% do volume médio diário do papel. A ordem falha em vez de ser enviada.</w:t>
      </w:r>
    </w:p>
    <w:p>
      <w:pPr>
        <w:pStyle w:val="Heading2"/>
      </w:pPr>
      <w:r>
        <w:t>3.6 GOVERNANÇA: O SISTEMA PROPÕE, A PESSOA DECIDE</w:t>
      </w:r>
    </w:p>
    <w:p>
      <w:pPr>
        <w:pStyle w:val="Normal"/>
      </w:pPr>
      <w:r>
        <w:t>Quatro mecanismos delimitam o que o software pode fazer. Eles transformam a prestação de contas algorítmica em propriedade do desenho, e não em explicação produzida depois do fato (Kroll et al., 2017). A aprovação humana e o enquadramento ao perfil também são coerentes com a Resolução CVM nº 30, enquanto qualquer uso como consultoria individualizada depende da estrutura autorizada prevista na Resolução CVM nº 19 (Comissão de Valores Mobiliários, 2021a, 2021b).</w:t>
      </w:r>
    </w:p>
    <w:p>
      <w:pPr>
        <w:pStyle w:val="Normal"/>
        <w:ind w:firstLine="0"/>
        <w:numPr>
          <w:ilvl w:val="0"/>
          <w:numId w:val="4"/>
        </w:numPr>
      </w:pPr>
      <w:r>
        <w:t>Aprovação humana obrigatória. Nenhuma ordem é transmitida, nem pode ser, porque a arquitetura não tem esse caminho.</w:t>
      </w:r>
    </w:p>
    <w:p>
      <w:pPr>
        <w:pStyle w:val="Normal"/>
        <w:ind w:firstLine="0"/>
        <w:numPr>
          <w:ilvl w:val="0"/>
          <w:numId w:val="4"/>
        </w:numPr>
      </w:pPr>
      <w:r>
        <w:t>Papel delimitado do modelo de linguagem. O modelo organiza tese e riscos a partir de fatos já aprovados. Ele não define peso, não altera limite e não aprova ativo. Isso é uma restrição de arquitetura verificável, não uma promessa de conduta, e a Seção 5.5 mostra o experimento que testou o que aconteceria se ela fosse relaxada.</w:t>
      </w:r>
    </w:p>
    <w:p>
      <w:pPr>
        <w:pStyle w:val="Normal"/>
        <w:ind w:firstLine="0"/>
        <w:numPr>
          <w:ilvl w:val="0"/>
          <w:numId w:val="4"/>
        </w:numPr>
      </w:pPr>
      <w:r>
        <w:t>Conciliação pós-operação. A nota de corretagem é confrontada linha a linha com a ordem proposta.</w:t>
      </w:r>
    </w:p>
    <w:p>
      <w:pPr>
        <w:pStyle w:val="Normal"/>
        <w:ind w:firstLine="0"/>
        <w:numPr>
          <w:ilvl w:val="0"/>
          <w:numId w:val="4"/>
        </w:numPr>
      </w:pPr>
      <w:r>
        <w:t>Limites explícitos e versionados. Teto de renda variável, teto por emissor e reserva em caixa ficam na política, registrados antes da seleção.</w:t>
      </w:r>
    </w:p>
    <w:p>
      <w:pPr>
        <w:pStyle w:val="Heading1"/>
      </w:pPr>
      <w:r>
        <w:t>4. MÉTODO DE AVALIAÇÃO</w:t>
      </w:r>
    </w:p>
    <w:p>
      <w:pPr>
        <w:pStyle w:val="Heading2"/>
      </w:pPr>
      <w:r>
        <w:t>4.1 SEQUÊNCIA HISTÓRICA DE DESENVOLVIMENTO</w:t>
      </w:r>
    </w:p>
    <w:p>
      <w:pPr>
        <w:pStyle w:val="Normal"/>
      </w:pPr>
      <w:r>
        <w:t xml:space="preserve">O artefato admite múltiplas políticas, combinando orçamento de renda variável, número de posições e família de fatores. Publicar a melhor delas medida sobre toda a amostra seria exatamente o erro que a Seção 2 descreve. Na sequência histórica, para decidir a política do ano </w:t>
      </w:r>
      <w:r>
        <w:rPr>
          <w:i/>
        </w:rPr>
        <w:t>t</w:t>
      </w:r>
      <w:r>
        <w:t xml:space="preserve">, o sistema ordena as 36 candidatas usando somente os anos encerrados antes de </w:t>
      </w:r>
      <w:r>
        <w:rPr>
          <w:i/>
        </w:rPr>
        <w:t>t</w:t>
      </w:r>
      <w:r>
        <w:t>, pelo índice de Sharpe do excesso sobre o CDI, e adota a primeira colocada. Trocar de política é tratado como operação real e cobra rebalanceamento integral.</w:t>
      </w:r>
    </w:p>
    <w:p>
      <w:pPr>
        <w:pStyle w:val="Normal"/>
      </w:pPr>
      <w:r>
        <w:t>O ranqueamento exige no mínimo três anos encerrados. Como o painel começa em 2012, os anos de 2012 a 2014 inicializam a escolha e 2015 a 2025 formam onze decisões anuais. A ordem temporal reduz o uso direto do retorno futuro em cada decisão, mas não cria uma amostra verdadeiramente externa: os dados, filtros e hipóteses foram examinados durante o desenvolvimento do projeto. Por isso, esta janela é chamada de diagnóstico retrospectivo sequencial, e não de teste fora da amostra. O teste prospectivo começa apenas depois do congelamento descrito na Seção 4.5.</w:t>
      </w:r>
    </w:p>
    <w:p>
      <w:pPr>
        <w:pStyle w:val="Heading2"/>
      </w:pPr>
      <w:r>
        <w:t>4.2 COMPARADORES</w:t>
      </w:r>
    </w:p>
    <w:p>
      <w:pPr>
        <w:pStyle w:val="Normal"/>
      </w:pPr>
      <w:r>
        <w:t>Quatro referências foram calculadas de forma independente.</w:t>
      </w:r>
    </w:p>
    <w:p>
      <w:pPr>
        <w:pStyle w:val="Normal"/>
        <w:ind w:firstLine="0"/>
        <w:numPr>
          <w:ilvl w:val="0"/>
          <w:numId w:val="1"/>
        </w:numPr>
      </w:pPr>
      <w:r>
        <w:t>CDI, série 12 do Banco Central, como custo de oportunidade do caixa.</w:t>
      </w:r>
    </w:p>
    <w:p>
      <w:pPr>
        <w:pStyle w:val="Normal"/>
        <w:ind w:firstLine="0"/>
        <w:numPr>
          <w:ilvl w:val="0"/>
          <w:numId w:val="1"/>
        </w:numPr>
      </w:pPr>
      <w:r>
        <w:t>Ibovespa, índice de retorno total que incorpora os proventos da carteira teórica e, por isso, é comparável a uma carteira que os reinveste (B3, 2026b).</w:t>
      </w:r>
    </w:p>
    <w:p>
      <w:pPr>
        <w:pStyle w:val="Normal"/>
        <w:ind w:firstLine="0"/>
        <w:numPr>
          <w:ilvl w:val="0"/>
          <w:numId w:val="1"/>
        </w:numPr>
      </w:pPr>
      <w:r>
        <w:t>BOVA11, ETF negociável que busca acompanhar o Ibovespa e permite observar uma implementação passiva sujeita a taxa, custos de negociação e diferença de aderência (BlackRock, 2026).</w:t>
      </w:r>
    </w:p>
    <w:p>
      <w:pPr>
        <w:pStyle w:val="Normal"/>
        <w:ind w:firstLine="0"/>
        <w:numPr>
          <w:ilvl w:val="0"/>
          <w:numId w:val="1"/>
        </w:numPr>
      </w:pPr>
      <w:r>
        <w:t>Otimização média-variância sobre o mesmo universo elegível. Esse método estima retorno médio e covariância com dados anteriores e escolhe pesos que maximizam a relação entre retorno esperado e risco sob os mesmos limites de elegibilidade.</w:t>
      </w:r>
    </w:p>
    <w:p>
      <w:pPr>
        <w:pStyle w:val="Normal"/>
      </w:pPr>
      <w:r>
        <w:t>Esse último merece nota. Em uma versão anterior do sistema, a série rotulada como MVO de referência era numericamente idêntica à estratégia em todos os anos, ou seja, a estratégia estava sendo comparada a si mesma. O defeito foi encontrado na auditoria interna, corrigido com uma implementação independente, e o comparador passou a produzir resultados distintos, inclusive desfavoráveis à estratégia em um dos onze anos.</w:t>
      </w:r>
    </w:p>
    <w:p>
      <w:pPr>
        <w:pStyle w:val="Normal"/>
      </w:pPr>
      <w:r>
        <w:t>Ibovespa e BOVA11 não são duplicatas. O primeiro mede o retorno total de uma carteira teórica e estabelece a referência econômica do mercado. O segundo representa um caminho efetivamente negociável para buscar essa exposição. A pequena diferença entre as duas séries é informativa, pois reúne taxa, fricções operacionais e erro de aderência. Todos os comparadores usam as mesmas datas de início e fim da carteira.</w:t>
      </w:r>
    </w:p>
    <w:p>
      <w:pPr>
        <w:pStyle w:val="Heading2"/>
      </w:pPr>
      <w:r>
        <w:t>4.3 CORREÇÃO POR MÚLTIPLAS TENTATIVAS</w:t>
      </w:r>
    </w:p>
    <w:p>
      <w:pPr>
        <w:pStyle w:val="Normal"/>
      </w:pPr>
      <w:r>
        <w:t>Com 36 configurações avaliadas, o Sharpe da vencedora precisa ser deflacionado. Calculamos o Sharpe deflacionado com o número de tentativas, o número de observações e os momentos superiores da série de retornos.</w:t>
      </w:r>
    </w:p>
    <w:p>
      <w:pPr>
        <w:pStyle w:val="Normal"/>
      </w:pPr>
      <w:r>
        <w:t>Medimos também o prêmio de retrospectiva, que é a diferença entre o CAGR da configuração que teria vencido a amostra inteira, escolha impossível na prática porque usa os anos sobre os quais é medida, e o CAGR da escolha aninhada. Esse número quantifica exatamente o que um concorrente ganharia publicando o vencedor da busca como se fosse resultado obtenível.</w:t>
      </w:r>
    </w:p>
    <w:p>
      <w:pPr>
        <w:pStyle w:val="Heading2"/>
      </w:pPr>
      <w:r>
        <w:t>4.4 AUDITORIA DA QUALIDADE DOS DADOS E SENSIBILIDADE</w:t>
      </w:r>
    </w:p>
    <w:p>
      <w:pPr>
        <w:pStyle w:val="Normal"/>
      </w:pPr>
      <w:r>
        <w:t>A reconstrução de retorno total combina 497 séries. Em 139 delas, a distribuição de proventos precisou ser imputada porque não havia cobertura integral do provedor. Uma contagem por ticker seria insuficiente, pois uma série problemática pode nunca entrar na carteira. A auditoria cruzou, por ano, a política realmente escolhida, os pesos dos ativos e o tipo de reconstrução de cada série. A medida principal é a parcela da exposição acumulada a ações que dependeu de provento imputado.</w:t>
      </w:r>
    </w:p>
    <w:p>
      <w:pPr>
        <w:pStyle w:val="Normal"/>
      </w:pPr>
      <w:r>
        <w:t>Dois testes de sensibilidade complementam essa inspeção. O primeiro reamostra, em conjunto, os vetores anuais completos de retorno da estratégia e de cada comparador. Foram produzidas 100 mil amostras com semente registrada. O pareamento conserva a relação observada em cada ano e mede estabilidade interna, mas não cria crises novas nem corrige a fonte. O segundo aplica perdas hipotéticas de 10, 25, 50 e 100 pontos percentuais somente à parcela anual investida em séries imputadas. O objetivo é mostrar quanto o resultado depende dessa hipótese, e não adivinhar qual teria sido o provento correto.</w:t>
      </w:r>
    </w:p>
    <w:p>
      <w:pPr>
        <w:pStyle w:val="Heading2"/>
      </w:pPr>
      <w:r>
        <w:t>4.5 REGISTRO PROSPECTIVO</w:t>
      </w:r>
    </w:p>
    <w:p>
      <w:pPr>
        <w:pStyle w:val="Normal"/>
      </w:pPr>
      <w:r>
        <w:t>O protocolo prospectivo foi congelado em 16 de agosto de 2026, com hash e data registrados no repositório. A política precisa superar, após imposto, o CDI e o ETF investível de mercado, manter queda máxima inferior a 35% e acumular pelo menos três anos antes de uma conclusão. Não existe resultado prospectivo suficiente na data deste artigo. Essa ausência é um resultado de estágio do projeto, não uma lacuna a preencher com o histórico. A regra registrada não poderá ser alterada depois de observado um ano desfavorável sem que a mudança constitua um novo protocolo e uma nova contagem.</w:t>
      </w:r>
    </w:p>
    <w:p>
      <w:pPr>
        <w:pStyle w:val="Heading1"/>
      </w:pPr>
      <w:r>
        <w:t>5. RESULTADOS E DISCUSSÃO</w:t>
      </w:r>
    </w:p>
    <w:p>
      <w:pPr>
        <w:pStyle w:val="Heading2"/>
      </w:pPr>
      <w:r>
        <w:t>5.1 FUNCIONAMENTO E DIAGNÓSTICO FINANCEIRO</w:t>
      </w:r>
    </w:p>
    <w:p>
      <w:pPr>
        <w:pStyle w:val="Normal"/>
      </w:pPr>
      <w:r>
        <w:t>O artefato produziu, para cada decisão anual, um registro com fontes, hashes, elegibilidade, ranking, pesos, custos estimados, comparadores e justificativa. Os testes de integridade recusaram arquivos alterados, pesos que não somavam 100%, ordens acima do limite de liquidez e fundamentos recebidos depois da decisão. A auditoria adversarial descrita na Seção 5.7 encontrou sete defeitos no próprio processo de pesquisa. Corrigi-los mudou as métricas, o que demonstra que o registro é capaz de contestar o resultado que o sistema produz.</w:t>
      </w:r>
    </w:p>
    <w:p>
      <w:pPr>
        <w:pStyle w:val="Normal"/>
      </w:pPr>
      <w:r>
        <w:t>A Tabela 2 apresenta o diagnóstico financeiro de onze decisões, de 2015 a 2025, líquido de custos estimados. Ele descreve o comportamento do protótipo durante o desenvolvimento. Não é validação prospectiva nem demonstração de que a carteira repetirá o desempenho.</w:t>
      </w:r>
    </w:p>
    <w:p>
      <w:pPr>
        <w:keepNext/>
        <w:spacing w:after="0"/>
      </w:pPr>
      <w:r>
        <w:rPr>
          <w:b/>
        </w:rPr>
        <w:t>Tabela 2</w:t>
      </w:r>
    </w:p>
    <w:p>
      <w:pPr>
        <w:keepNext/>
        <w:spacing w:after="80"/>
      </w:pPr>
      <w:r>
        <w:rPr>
          <w:i/>
        </w:rPr>
        <w:t>Diagnóstico retrospectivo da carteira e dos comparadores entre 2015 e 2025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2332"/>
        <w:gridCol w:w="1615"/>
        <w:gridCol w:w="2243"/>
        <w:gridCol w:w="1166"/>
        <w:gridCol w:w="1704"/>
      </w:tblGrid>
      <w:tr>
        <w:trPr>
          <w:cantSplit/>
          <w:tblHeader w:val="true"/>
        </w:trPr>
        <w:tc>
          <w:tcPr>
            <w:tcW w:type="dxa" w:w="233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Série</w:t>
            </w:r>
          </w:p>
        </w:tc>
        <w:tc>
          <w:tcPr>
            <w:tcW w:type="dxa" w:w="161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Retorno anualizado</w:t>
            </w:r>
          </w:p>
        </w:tc>
        <w:tc>
          <w:tcPr>
            <w:tcW w:type="dxa" w:w="224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Valor final de R$ 100 mil</w:t>
            </w:r>
          </w:p>
        </w:tc>
        <w:tc>
          <w:tcPr>
            <w:tcW w:type="dxa" w:w="1166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Anos vencidos</w:t>
            </w:r>
          </w:p>
        </w:tc>
        <w:tc>
          <w:tcPr>
            <w:tcW w:type="dxa" w:w="1704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Queda máxima diária</w:t>
            </w: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Benevente 1</w:t>
            </w:r>
          </w:p>
        </w:tc>
        <w:tc>
          <w:tcPr>
            <w:tcW w:type="dxa" w:w="161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17,86%</w:t>
            </w:r>
          </w:p>
        </w:tc>
        <w:tc>
          <w:tcPr>
            <w:tcW w:type="dxa" w:w="22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R$ 609.832</w:t>
            </w:r>
          </w:p>
        </w:tc>
        <w:tc>
          <w:tcPr>
            <w:tcW w:type="dxa" w:w="116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−47,8%</w:t>
            </w: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Benevente, após IR</w:t>
            </w:r>
          </w:p>
        </w:tc>
        <w:tc>
          <w:tcPr>
            <w:tcW w:type="dxa" w:w="161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16,03%</w:t>
            </w:r>
          </w:p>
        </w:tc>
        <w:tc>
          <w:tcPr>
            <w:tcW w:type="dxa" w:w="22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R$ 513.052</w:t>
            </w:r>
          </w:p>
        </w:tc>
        <w:tc>
          <w:tcPr>
            <w:tcW w:type="dxa" w:w="116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  <w:tc>
          <w:tcPr>
            <w:tcW w:type="dxa" w:w="170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Ibovespa</w:t>
            </w:r>
          </w:p>
        </w:tc>
        <w:tc>
          <w:tcPr>
            <w:tcW w:type="dxa" w:w="161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11,77%</w:t>
            </w:r>
          </w:p>
        </w:tc>
        <w:tc>
          <w:tcPr>
            <w:tcW w:type="dxa" w:w="22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R$ 340.068</w:t>
            </w:r>
          </w:p>
        </w:tc>
        <w:tc>
          <w:tcPr>
            <w:tcW w:type="dxa" w:w="116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 de 11</w:t>
            </w:r>
          </w:p>
        </w:tc>
        <w:tc>
          <w:tcPr>
            <w:tcW w:type="dxa" w:w="170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−47,0%</w:t>
            </w: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BOVA11 (ETF investível)</w:t>
            </w:r>
          </w:p>
        </w:tc>
        <w:tc>
          <w:tcPr>
            <w:tcW w:type="dxa" w:w="161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11,72%</w:t>
            </w:r>
          </w:p>
        </w:tc>
        <w:tc>
          <w:tcPr>
            <w:tcW w:type="dxa" w:w="22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R$ 338.545</w:t>
            </w:r>
          </w:p>
        </w:tc>
        <w:tc>
          <w:tcPr>
            <w:tcW w:type="dxa" w:w="116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 de 11</w:t>
            </w:r>
          </w:p>
        </w:tc>
        <w:tc>
          <w:tcPr>
            <w:tcW w:type="dxa" w:w="170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−47,2%</w:t>
            </w: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CDI</w:t>
            </w:r>
          </w:p>
        </w:tc>
        <w:tc>
          <w:tcPr>
            <w:tcW w:type="dxa" w:w="161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9,61%</w:t>
            </w:r>
          </w:p>
        </w:tc>
        <w:tc>
          <w:tcPr>
            <w:tcW w:type="dxa" w:w="22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R$ 274.368</w:t>
            </w:r>
          </w:p>
        </w:tc>
        <w:tc>
          <w:tcPr>
            <w:tcW w:type="dxa" w:w="1166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 de 11</w:t>
            </w:r>
          </w:p>
        </w:tc>
        <w:tc>
          <w:tcPr>
            <w:tcW w:type="dxa" w:w="170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233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MVO neutra, mesmo universo</w:t>
            </w:r>
          </w:p>
        </w:tc>
        <w:tc>
          <w:tcPr>
            <w:tcW w:type="dxa" w:w="161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7,83%</w:t>
            </w:r>
          </w:p>
        </w:tc>
        <w:tc>
          <w:tcPr>
            <w:tcW w:type="dxa" w:w="224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R$ 229.255</w:t>
            </w:r>
          </w:p>
        </w:tc>
        <w:tc>
          <w:tcPr>
            <w:tcW w:type="dxa" w:w="1166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de 11</w:t>
            </w:r>
          </w:p>
        </w:tc>
        <w:tc>
          <w:tcPr>
            <w:tcW w:type="dxa" w:w="1704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A coluna em reais traduz a taxa anualizada em escala econômica. Sob as hipóteses do diagnóstico, R$ 100 mil teriam terminado em R$ 609.832 na carteira, R$ 340.068 no Ibovespa e R$ 274.368 no CDI. Esses valores dependem da qualidade da série reconstruída e devem ser lidos junto com a Seção 5.2.</w:t>
      </w:r>
    </w:p>
    <w:p>
      <w:pPr>
        <w:pStyle w:val="Normal"/>
      </w:pPr>
      <w:r>
        <w:t>Em janelas móveis, contra o CDI a carteira vence 8 de 9 janelas de três anos, 6 de 7 de cinco anos e 2 de 2 de dez anos. Contra a otimização de referência, vence todas as janelas de três, cinco e dez anos. Essas contagens não são observações independentes: as nove janelas de três anos contêm apenas três blocos sem sobreposição, e as de dez anos contêm apenas um. Elas descrevem a amostra, mas não aumentam artificialmente seu tamanho.</w:t>
      </w:r>
    </w:p>
    <w:p>
      <w:pPr>
        <w:pStyle w:val="Normal"/>
      </w:pPr>
      <w:r>
        <w:t>O retorno veio acompanhado de risco elevado. A queda máxima diária chegou a 47,8%, praticamente igual à do Ibovespa, 47,0%, e à do BOVA11, 47,2%. Entre 2018 e 2021, a política selecionada manteve 95% em ações e concentrou essa parcela em cinco ou seis emissores. O sistema não antecipou a Covid-19 e não protegeu o capital durante a queda. A carteira sofreu quase todo o recuo do mercado e recuperou-se depois. Portanto, o resultado é incompatível com a promessa de perfil conservador e não pode ser vendido como proteção de crise.</w:t>
      </w:r>
    </w:p>
    <w:p>
      <w:pPr>
        <w:pStyle w:val="Heading2"/>
      </w:pPr>
      <w:r>
        <w:t>5.2 QUALIDADE DOS DADOS E DEPENDÊNCIA DE IMPUTAÇÃO</w:t>
      </w:r>
    </w:p>
    <w:p>
      <w:pPr>
        <w:pStyle w:val="Normal"/>
      </w:pPr>
      <w:r>
        <w:t>O painel contém 139 séries com proventos imputados, mas a carteira não as utilizou de modo uniforme. Somando somente a parcela de ações escolhida em cada ano, 13,9% da exposição acumulada dependeu de imputação. O caso mais relevante ocorreu em 2020: AZUL4 e MRFG3 representaram 50% da carteira total. Em cinco dos onze anos houve alguma exposição; nos demais, nenhuma série escolhida dependia desse procedimento.</w:t>
      </w:r>
    </w:p>
    <w:p>
      <w:pPr>
        <w:keepNext/>
        <w:spacing w:after="0"/>
      </w:pPr>
      <w:r>
        <w:rPr>
          <w:b/>
        </w:rPr>
        <w:t>Tabela 3</w:t>
      </w:r>
    </w:p>
    <w:p>
      <w:pPr>
        <w:keepNext/>
        <w:spacing w:after="80"/>
      </w:pPr>
      <w:r>
        <w:rPr>
          <w:i/>
        </w:rPr>
        <w:t>Exposição anual a séries com proventos imputados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272"/>
        <w:gridCol w:w="4768"/>
        <w:gridCol w:w="3020"/>
      </w:tblGrid>
      <w:tr>
        <w:trPr>
          <w:cantSplit/>
          <w:tblHeader w:val="true"/>
        </w:trPr>
        <w:tc>
          <w:tcPr>
            <w:tcW w:type="dxa" w:w="1272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Ano</w:t>
            </w:r>
          </w:p>
        </w:tc>
        <w:tc>
          <w:tcPr>
            <w:tcW w:type="dxa" w:w="476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Peso total em séries imputadas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Séries selecionadas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2015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CIEL3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2016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24,0%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ENBR3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2020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50,0%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AZUL4 e MRFG3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2021</w:t>
            </w:r>
          </w:p>
        </w:tc>
        <w:tc>
          <w:tcPr>
            <w:tcW w:type="dxa" w:w="47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25,0%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MRFG3</w:t>
            </w:r>
          </w:p>
        </w:tc>
      </w:tr>
      <w:tr>
        <w:trPr>
          <w:cantSplit/>
        </w:trPr>
        <w:tc>
          <w:tcPr>
            <w:tcW w:type="dxa" w:w="1272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2025</w:t>
            </w:r>
          </w:p>
        </w:tc>
        <w:tc>
          <w:tcPr>
            <w:tcW w:type="dxa" w:w="476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5,0%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STBP3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Aplicar uma perda adicional de 10 pontos percentuais apenas à parcela imputada reduz o retorno anualizado da carteira de 17,86% para 16,78%. Com 25 pontos, ele cai para 15,11%; com 50, para 12,16%; e com 100, para 5,41%. A carteira deixa de superar o Ibovespa quando a penalização nessa parcela chega a aproximadamente 53 pontos percentuais e deixa de superar o CDI perto de 70 pontos. O teste mostra alguma margem econômica, mas não repara o dado. Como metade da carteira de 2020 dependeu de séries imputadas, o retorno histórico deve permanecer diagnóstico até a reconciliação dos eventos e proventos em fonte primária.</w:t>
      </w:r>
    </w:p>
    <w:p>
      <w:pPr>
        <w:pStyle w:val="Heading2"/>
      </w:pPr>
      <w:r>
        <w:t>5.3 INCERTEZA DA AMOSTRA</w:t>
      </w:r>
    </w:p>
    <w:p>
      <w:pPr>
        <w:pStyle w:val="Normal"/>
      </w:pPr>
      <w:r>
        <w:t>A reamostragem pareada preserva, em cada sorteio, o mesmo ano da estratégia e dos comparadores. Em 100 mil amostras, a probabilidade interna de excesso positivo foi alta, mas o intervalo de 95% ainda cruzou zero contra CDI, Ibovespa e BOVA11. Somente a comparação com a implementação específica de MVO permaneceu positiva em todo o intervalo. Isso não autoriza concluir que o Benevente supera esses referenciais na população; mostra apenas que a ordenação observada não dependeu de um único ano sorteado repetidamente.</w:t>
      </w:r>
    </w:p>
    <w:p>
      <w:pPr>
        <w:keepNext/>
        <w:spacing w:after="0"/>
      </w:pPr>
      <w:r>
        <w:rPr>
          <w:b/>
        </w:rPr>
        <w:t>Tabela 4</w:t>
      </w:r>
    </w:p>
    <w:p>
      <w:pPr>
        <w:keepNext/>
        <w:spacing w:after="80"/>
      </w:pPr>
      <w:r>
        <w:rPr>
          <w:i/>
        </w:rPr>
        <w:t>Incerteza do excesso de retorno em reamostragem pareada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639"/>
        <w:gridCol w:w="2795"/>
        <w:gridCol w:w="2795"/>
        <w:gridCol w:w="1831"/>
      </w:tblGrid>
      <w:tr>
        <w:trPr>
          <w:cantSplit/>
          <w:tblHeader w:val="true"/>
        </w:trPr>
        <w:tc>
          <w:tcPr>
            <w:tcW w:type="dxa" w:w="163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Comparador</w:t>
            </w:r>
          </w:p>
        </w:tc>
        <w:tc>
          <w:tcPr>
            <w:tcW w:type="dxa" w:w="279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Amostras com excesso positivo</w:t>
            </w:r>
          </w:p>
        </w:tc>
        <w:tc>
          <w:tcPr>
            <w:tcW w:type="dxa" w:w="2795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Mediana do excesso anualizado</w:t>
            </w:r>
          </w:p>
        </w:tc>
        <w:tc>
          <w:tcPr>
            <w:tcW w:type="dxa" w:w="183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Intervalo de 95%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CDI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93,4%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+8,19 p.p.</w:t>
            </w:r>
          </w:p>
        </w:tc>
        <w:tc>
          <w:tcPr>
            <w:tcW w:type="dxa" w:w="183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−2,27 a +20,01 p.p.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MVO de referência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100,0%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+10,06 p.p.</w:t>
            </w:r>
          </w:p>
        </w:tc>
        <w:tc>
          <w:tcPr>
            <w:tcW w:type="dxa" w:w="183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+4,73 a +15,29 p.p.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Ibovespa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94,4%</w:t>
            </w:r>
          </w:p>
        </w:tc>
        <w:tc>
          <w:tcPr>
            <w:tcW w:type="dxa" w:w="2795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+5,94 p.p.</w:t>
            </w:r>
          </w:p>
        </w:tc>
        <w:tc>
          <w:tcPr>
            <w:tcW w:type="dxa" w:w="183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−1,31 a +14,28 p.p.</w:t>
            </w:r>
          </w:p>
        </w:tc>
      </w:tr>
      <w:tr>
        <w:trPr>
          <w:cantSplit/>
        </w:trPr>
        <w:tc>
          <w:tcPr>
            <w:tcW w:type="dxa" w:w="163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BOVA11</w:t>
            </w:r>
          </w:p>
        </w:tc>
        <w:tc>
          <w:tcPr>
            <w:tcW w:type="dxa" w:w="279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94,3%</w:t>
            </w:r>
          </w:p>
        </w:tc>
        <w:tc>
          <w:tcPr>
            <w:tcW w:type="dxa" w:w="2795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+5,98 p.p.</w:t>
            </w:r>
          </w:p>
        </w:tc>
        <w:tc>
          <w:tcPr>
            <w:tcW w:type="dxa" w:w="183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−1,34 a +14,41 p.p.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 limite do procedimento é importante. Reamostrar onze anos não cria um mercado de baixa prolongado que não esteja na série, não produz novas trajetórias de inflação e juros e não transforma desenvolvimento em validação externa. A informação correta é que há estabilidade interna suficiente para continuar o teste prospectivo, não que a superioridade esteja comprovada.</w:t>
      </w:r>
    </w:p>
    <w:p>
      <w:pPr>
        <w:pStyle w:val="Heading2"/>
      </w:pPr>
      <w:r>
        <w:t>5.4 CORREÇÃO POR MÚLTIPLAS TENTATIVAS</w:t>
      </w:r>
    </w:p>
    <w:p>
      <w:pPr>
        <w:keepNext/>
        <w:spacing w:after="0"/>
      </w:pPr>
      <w:r>
        <w:rPr>
          <w:b/>
        </w:rPr>
        <w:t>Tabela 5</w:t>
      </w:r>
    </w:p>
    <w:p>
      <w:pPr>
        <w:keepNext/>
        <w:spacing w:after="80"/>
      </w:pPr>
      <w:r>
        <w:rPr>
          <w:i/>
        </w:rPr>
        <w:t>Estatísticas de correção por múltiplas tentativas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6161"/>
        <w:gridCol w:w="2899"/>
      </w:tblGrid>
      <w:tr>
        <w:trPr>
          <w:cantSplit/>
          <w:tblHeader w:val="true"/>
        </w:trPr>
        <w:tc>
          <w:tcPr>
            <w:tcW w:type="dxa" w:w="616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Estatística</w:t>
            </w:r>
          </w:p>
        </w:tc>
        <w:tc>
          <w:tcPr>
            <w:tcW w:type="dxa" w:w="289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Sharpe observado do excesso sobre o CDI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0,933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Sharpe máximo esperado sob a hipótese nula, com 36 tentativas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0,355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Probabilidade do Sharpe deflacionado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0,986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Significante a 95%</w:t>
            </w:r>
          </w:p>
        </w:tc>
        <w:tc>
          <w:tcPr>
            <w:tcW w:type="dxa" w:w="289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616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Prêmio de retrospectiva</w:t>
            </w:r>
          </w:p>
        </w:tc>
        <w:tc>
          <w:tcPr>
            <w:tcW w:type="dxa" w:w="289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0,65 p.p. ao ano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 prêmio de retrospectiva diz que escolher a política vencedora conhecendo toda a amostra teria rendido 0,65 ponto percentual a mais por ano do que a escolha sequencial. Em uma versão anterior, com um ano a menos de histórico inicial, esse prêmio era de 4,98 pontos. Ampliar a base reduziu a parcela do retorno explicada pela escolha posterior da regra. O Sharpe deflacionado também corrige múltiplas tentativas, mas não resolve a dependência de dados nem a ausência de teste prospectivo. Ele é uma defesa contra uma forma específica de sobreajuste, não um certificado geral de validade.</w:t>
      </w:r>
    </w:p>
    <w:p>
      <w:pPr>
        <w:pStyle w:val="Heading2"/>
      </w:pPr>
      <w:r>
        <w:t>5.5 O QUE NÃO FUNCIONOU</w:t>
      </w:r>
    </w:p>
    <w:p>
      <w:pPr>
        <w:pStyle w:val="Normal"/>
      </w:pPr>
      <w:r>
        <w:t>Cinco hipóteses foram testadas e nenhuma se sustentou de forma suficiente para substituir a política principal. Elas são publicadas porque um artefato que só reporta o que deu certo não é auditável.</w:t>
      </w:r>
    </w:p>
    <w:p>
      <w:pPr>
        <w:pStyle w:val="Normal"/>
      </w:pPr>
      <w:r>
        <w:t>Previsão anual de regime. Testamos se indicadores disponíveis em janeiro, entre prêmio de lucro sobre o CDI, nível do CDI, retorno e volatilidade do mercado nos doze meses anteriores e distância do topo, anteciparam se o ano seria de ações ou de caixa. Sobre 8 anos, o melhor preditor acertou 3 de 4 chamadas efetivas, com p de 0,31 contra cara-ou-coroa. Um acerto de 75% em quatro tentativas não distingue habilidade de sorte. O prêmio disponível para quem acertasse todas as chamadas era de 6,5 pontos percentuais ao ano, e permanece inalcançável. Sem sinal.</w:t>
      </w:r>
    </w:p>
    <w:p>
      <w:pPr>
        <w:pStyle w:val="Normal"/>
      </w:pPr>
      <w:r>
        <w:t>Realocação mensal e semanal. Em 118 períodos mensais e 521 semanais, nenhuma das sete regras contínuas superou de forma significativa o peso estático. A regra de média-variância foi significativamente pior. O prêmio por acertar o tempo existe, mas nenhum sinal testado o capturou.</w:t>
      </w:r>
    </w:p>
    <w:p>
      <w:pPr>
        <w:pStyle w:val="Normal"/>
      </w:pPr>
      <w:r>
        <w:t>Reseleção mais frequente da cesta. A objeção seguinte é diferente da anterior e precisa ser separada dela: não se a proporção entre ações e caixa deve mudar mais vezes, que é o que o parágrafo acima rejeita, mas se a própria cesta deveria ser retriada, reordenada e reotimizada mais vezes por ano. Testamos três cadências com a mesma regra, os mesmos limites e o mesmo painel, variando apenas as datas de decisão.</w:t>
      </w:r>
    </w:p>
    <w:p>
      <w:pPr>
        <w:keepNext/>
        <w:spacing w:after="0"/>
      </w:pPr>
      <w:r>
        <w:rPr>
          <w:b/>
        </w:rPr>
        <w:t>Tabela 6</w:t>
      </w:r>
    </w:p>
    <w:p>
      <w:pPr>
        <w:keepNext/>
        <w:spacing w:after="80"/>
      </w:pPr>
      <w:r>
        <w:rPr>
          <w:i/>
        </w:rPr>
        <w:t>Desempenho por cadência de reseleção da carteira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438"/>
        <w:gridCol w:w="1150"/>
        <w:gridCol w:w="1438"/>
        <w:gridCol w:w="2301"/>
        <w:gridCol w:w="1150"/>
        <w:gridCol w:w="1583"/>
      </w:tblGrid>
      <w:tr>
        <w:trPr>
          <w:cantSplit/>
          <w:tblHeader w:val="true"/>
        </w:trPr>
        <w:tc>
          <w:tcPr>
            <w:tcW w:type="dxa" w:w="143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Cadência</w:t>
            </w:r>
          </w:p>
        </w:tc>
        <w:tc>
          <w:tcPr>
            <w:tcW w:type="dxa" w:w="115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Decisões</w:t>
            </w:r>
          </w:p>
        </w:tc>
        <w:tc>
          <w:tcPr>
            <w:tcW w:type="dxa" w:w="143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CAGR bruto</w:t>
            </w:r>
          </w:p>
        </w:tc>
        <w:tc>
          <w:tcPr>
            <w:tcW w:type="dxa" w:w="2301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Líquido de custo</w:t>
            </w:r>
          </w:p>
        </w:tc>
        <w:tc>
          <w:tcPr>
            <w:tcW w:type="dxa" w:w="115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Após IR</w:t>
            </w:r>
          </w:p>
        </w:tc>
        <w:tc>
          <w:tcPr>
            <w:tcW w:type="dxa" w:w="158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Giro no ano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Anual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18,58%</w:t>
            </w:r>
          </w:p>
        </w:tc>
        <w:tc>
          <w:tcPr>
            <w:tcW w:type="dxa" w:w="230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18,51%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17,09%</w:t>
            </w:r>
          </w:p>
        </w:tc>
        <w:tc>
          <w:tcPr>
            <w:tcW w:type="dxa" w:w="158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62,1%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Trimestral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143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16,37%</w:t>
            </w:r>
          </w:p>
        </w:tc>
        <w:tc>
          <w:tcPr>
            <w:tcW w:type="dxa" w:w="2301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16,25%</w:t>
            </w:r>
          </w:p>
        </w:tc>
        <w:tc>
          <w:tcPr>
            <w:tcW w:type="dxa" w:w="115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15,60%</w:t>
            </w:r>
          </w:p>
        </w:tc>
        <w:tc>
          <w:tcPr>
            <w:tcW w:type="dxa" w:w="158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116,0%</w:t>
            </w:r>
          </w:p>
        </w:tc>
      </w:tr>
      <w:tr>
        <w:trPr>
          <w:cantSplit/>
        </w:trPr>
        <w:tc>
          <w:tcPr>
            <w:tcW w:type="dxa" w:w="143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Mensal</w:t>
            </w:r>
          </w:p>
        </w:tc>
        <w:tc>
          <w:tcPr>
            <w:tcW w:type="dxa" w:w="115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132</w:t>
            </w:r>
          </w:p>
        </w:tc>
        <w:tc>
          <w:tcPr>
            <w:tcW w:type="dxa" w:w="143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13,92%</w:t>
            </w:r>
          </w:p>
        </w:tc>
        <w:tc>
          <w:tcPr>
            <w:tcW w:type="dxa" w:w="2301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13,75%</w:t>
            </w:r>
          </w:p>
        </w:tc>
        <w:tc>
          <w:tcPr>
            <w:tcW w:type="dxa" w:w="115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13,32%</w:t>
            </w:r>
          </w:p>
        </w:tc>
        <w:tc>
          <w:tcPr>
            <w:tcW w:type="dxa" w:w="158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177,6%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Nenhuma cadência mais rápida superou a anual. Pareando por ano-calendário, a trimestral fica 1,55 ponto percentual abaixo ao ano após imposto, com p de 0,376, e a mensal 3,27 pontos abaixo, com p de 0,306. A leitura correta é que não há evidência de que decidir mais vezes ajude, e não que esteja provado que atrapalhe: onze anos pareados não sustentam a afirmação mais forte.</w:t>
      </w:r>
    </w:p>
    <w:p>
      <w:pPr>
        <w:pStyle w:val="Normal"/>
      </w:pPr>
      <w:r>
        <w:t>A diferença surgiu antes dos custos: o retorno bruto caiu 4,66 pontos da cadência anual para a mensal. O sinal combina qualidade, valor e momento, grandezas de maturação lenta. O modelo tributário subestima o imposto do braço mensal ao não acompanhar o lote vendido; esse viés favorece a alternativa que mesmo assim não venceu.</w:t>
      </w:r>
    </w:p>
    <w:p>
      <w:pPr>
        <w:pStyle w:val="Normal"/>
      </w:pPr>
      <w:r>
        <w:t>Modelo de linguagem como fonte de retorno. Este é o teste que mais interessa à governança do produto, e está detalhado a seguir.</w:t>
      </w:r>
    </w:p>
    <w:p>
      <w:pPr>
        <w:pStyle w:val="Normal"/>
      </w:pPr>
      <w:r>
        <w:t>Proteção intranual concebida depois da Covid-19. O Benevente 2 reduz a exposição após estresse de queda e volatilidade do Ibovespa. No histórico, a queda máxima recuou de 47,8% para 28,7%, sem diferença detectável de retorno entre 2019 e 2025 (p = 0,964). Por perfil, a proteção reduziu a queda de 18,9% para 9,9% no conservador, de 28,1% para 17,9% no equilibrado e de 37,6% para 29,3% no arrojado, com pequena redução do CAGR. Em 5.000 reamostragens de blocos, o percentil adverso de 2,5% chegou a 14,2%, 27,7% e 49,1%. A regra foi registrada em 20 de agosto de 2026 para acompanhamento em 2027. Ela permanece retrospectiva, sem imposto intranual, e não integra o resultado principal.</w:t>
      </w:r>
    </w:p>
    <w:p>
      <w:pPr>
        <w:pStyle w:val="Heading2"/>
      </w:pPr>
      <w:r>
        <w:t>5.6 O EXPERIMENTO COM MODELO DE LINGUAGEM: TRÊS RESULTADOS NULOS</w:t>
      </w:r>
    </w:p>
    <w:p>
      <w:pPr>
        <w:pStyle w:val="Normal"/>
      </w:pPr>
      <w:r>
        <w:t>O sistema usa um modelo de linguagem em papel deliberadamente restrito. Para verificar se essa restrição custa desempenho e se o modelo agrega algo, foram comparadas quatro versões sobre 13 anos, com o mesmo universo elegível.</w:t>
      </w:r>
    </w:p>
    <w:p>
      <w:pPr>
        <w:pStyle w:val="Normal"/>
        <w:ind w:firstLine="0"/>
        <w:numPr>
          <w:ilvl w:val="0"/>
          <w:numId w:val="1"/>
        </w:numPr>
      </w:pPr>
      <w:r>
        <w:t>Nomeado: o modelo vê os nomes das empresas e devolve um escore limitado, que inclina o retorno esperado dentro do otimizador convexo.</w:t>
      </w:r>
    </w:p>
    <w:p>
      <w:pPr>
        <w:pStyle w:val="Normal"/>
        <w:ind w:firstLine="0"/>
        <w:numPr>
          <w:ilvl w:val="0"/>
          <w:numId w:val="1"/>
        </w:numPr>
      </w:pPr>
      <w:r>
        <w:t>Anonimizado: idêntico, mas as empresas são identificadas apenas por números, de modo que o modelo vê os fundamentos e não as marcas.</w:t>
      </w:r>
    </w:p>
    <w:p>
      <w:pPr>
        <w:pStyle w:val="Normal"/>
        <w:ind w:firstLine="0"/>
        <w:numPr>
          <w:ilvl w:val="0"/>
          <w:numId w:val="1"/>
        </w:numPr>
      </w:pPr>
      <w:r>
        <w:t>Determinístico: controle sem modelo algum, ordenando o mesmo universo pelo escore de fator pré-declarado.</w:t>
      </w:r>
    </w:p>
    <w:p>
      <w:pPr>
        <w:pStyle w:val="Normal"/>
        <w:ind w:firstLine="0"/>
        <w:numPr>
          <w:ilvl w:val="0"/>
          <w:numId w:val="1"/>
        </w:numPr>
      </w:pPr>
      <w:r>
        <w:t>Monolítico: o contrafactual em que o modelo devolve pesos diretamente, sem otimizador e sem restrições.</w:t>
      </w:r>
    </w:p>
    <w:p>
      <w:pPr>
        <w:keepNext/>
        <w:spacing w:after="0"/>
      </w:pPr>
      <w:r>
        <w:rPr>
          <w:b/>
        </w:rPr>
        <w:t>Tabela 7</w:t>
      </w:r>
    </w:p>
    <w:p>
      <w:pPr>
        <w:keepNext/>
        <w:spacing w:after="80"/>
      </w:pPr>
      <w:r>
        <w:rPr>
          <w:i/>
        </w:rPr>
        <w:t>Comparações do experimento com modelo de linguagem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4968"/>
        <w:gridCol w:w="2923"/>
        <w:gridCol w:w="1169"/>
      </w:tblGrid>
      <w:tr>
        <w:trPr>
          <w:cantSplit/>
          <w:tblHeader w:val="true"/>
        </w:trPr>
        <w:tc>
          <w:tcPr>
            <w:tcW w:type="dxa" w:w="4968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Comparação</w:t>
            </w:r>
          </w:p>
        </w:tc>
        <w:tc>
          <w:tcPr>
            <w:tcW w:type="dxa" w:w="292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Diferença anualizada</w:t>
            </w:r>
          </w:p>
        </w:tc>
        <w:tc>
          <w:tcPr>
            <w:tcW w:type="dxa" w:w="1169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Nomeado menos anonimizado (contaminação temporal)</w:t>
            </w:r>
          </w:p>
        </w:tc>
        <w:tc>
          <w:tcPr>
            <w:tcW w:type="dxa" w:w="292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+0,38 p.p.</w:t>
            </w:r>
          </w:p>
        </w:tc>
        <w:tc>
          <w:tcPr>
            <w:tcW w:type="dxa" w:w="116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0,905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Anonimizado menos determinístico (valor agregado pelo modelo)</w:t>
            </w:r>
          </w:p>
        </w:tc>
        <w:tc>
          <w:tcPr>
            <w:tcW w:type="dxa" w:w="292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−0,05 p.p.</w:t>
            </w:r>
          </w:p>
        </w:tc>
        <w:tc>
          <w:tcPr>
            <w:tcW w:type="dxa" w:w="1169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0,989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Anonimizado menos monolítico (valor do desacoplamento)</w:t>
            </w:r>
          </w:p>
        </w:tc>
        <w:tc>
          <w:tcPr>
            <w:tcW w:type="dxa" w:w="292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+0,81 p.p.</w:t>
            </w:r>
          </w:p>
        </w:tc>
        <w:tc>
          <w:tcPr>
            <w:tcW w:type="dxa" w:w="1169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0,777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Os três resultados estatísticos não permitem rejeitar a hipótese de ausência de diferença, e cada um responde a uma pergunta diferente.</w:t>
      </w:r>
    </w:p>
    <w:p>
      <w:pPr>
        <w:pStyle w:val="Normal"/>
        <w:ind w:firstLine="0"/>
        <w:numPr>
          <w:ilvl w:val="0"/>
          <w:numId w:val="5"/>
        </w:numPr>
      </w:pPr>
      <w:r>
        <w:t>Não houve diferença detectável entre identificar as empresas pelo nome e ocultar sua identidade. A amostra pequena, porém, não prova ausência de contaminação.</w:t>
      </w:r>
    </w:p>
    <w:p>
      <w:pPr>
        <w:pStyle w:val="Normal"/>
        <w:ind w:firstLine="0"/>
        <w:numPr>
          <w:ilvl w:val="0"/>
          <w:numId w:val="5"/>
        </w:numPr>
      </w:pPr>
      <w:r>
        <w:t>O modelo não agregou retorno. O braço anonimizado ficou 0,05 ponto percentual abaixo do controle determinístico, com p = 0,989.</w:t>
      </w:r>
    </w:p>
    <w:p>
      <w:pPr>
        <w:pStyle w:val="Normal"/>
        <w:ind w:firstLine="0"/>
        <w:numPr>
          <w:ilvl w:val="0"/>
          <w:numId w:val="5"/>
        </w:numPr>
      </w:pPr>
      <w:r>
        <w:t>Manter o modelo longe dos pesos não penalizou o resultado. Quando recebeu essa função, ele produziu vetores que não somavam 100% em 5 dos 13 anos e omitiu dezenas de ativos elegíveis sem sinalizar. O otimizador garante uma alocação válida antes da explicação.</w:t>
      </w:r>
    </w:p>
    <w:p>
      <w:pPr>
        <w:pStyle w:val="Normal"/>
      </w:pPr>
      <w:r>
        <w:t>A conclusão de produto é direta. O modelo de linguagem justifica-se no Benevente por organizar e explicar decisões, não por gerá-las. Vender IA como fonte de alfa, com base nestes dados, seria vender algo que medimos e não encontramos.</w:t>
      </w:r>
    </w:p>
    <w:p>
      <w:pPr>
        <w:pStyle w:val="Heading2"/>
      </w:pPr>
      <w:r>
        <w:t>5.7 DEFEITOS ENCONTRADOS NA PRÓPRIA AUDITORIA</w:t>
      </w:r>
    </w:p>
    <w:p>
      <w:pPr>
        <w:pStyle w:val="Normal"/>
      </w:pPr>
      <w:r>
        <w:t>O artefato passou por auditoria interna adversarial. Sete defeitos foram encontrados e corrigidos, e todos inflavam o resultado.</w:t>
      </w:r>
    </w:p>
    <w:p>
      <w:pPr>
        <w:keepNext/>
        <w:spacing w:after="0"/>
      </w:pPr>
      <w:r>
        <w:rPr>
          <w:b/>
        </w:rPr>
        <w:t>Tabela 8</w:t>
      </w:r>
    </w:p>
    <w:p>
      <w:pPr>
        <w:keepNext/>
        <w:spacing w:after="80"/>
      </w:pPr>
      <w:r>
        <w:rPr>
          <w:i/>
        </w:rPr>
        <w:t>Defeitos identificados na auditoria interna e respectivas correções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3020"/>
        <w:gridCol w:w="3020"/>
        <w:gridCol w:w="3020"/>
      </w:tblGrid>
      <w:tr>
        <w:trPr>
          <w:cantSplit/>
          <w:tblHeader w:val="true"/>
        </w:trPr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Defeito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Efeito</w:t>
            </w:r>
          </w:p>
        </w:tc>
        <w:tc>
          <w:tcPr>
            <w:tcW w:type="dxa" w:w="3020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Correção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Comparador MVO idêntico à estratégia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Comparação da estratégia consigo mesma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Implementação independente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Painel de provedor descartava deslistadas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Viés de sobrevivência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Universo reconstruído do arquivo da B3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 de deslistagem descartado inteiro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Perda truncava o ano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Liquidação da posição em CDI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Imposto ausente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Retorno superestimado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Modelo tributário brasileiro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Custo fixo ignorando liquidez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Ordem grande sem penalidade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Deslizamento por participação no volume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Rebalanceamento diário implícito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Artefato de vetorização</w:t>
            </w:r>
          </w:p>
        </w:tc>
        <w:tc>
          <w:tcPr>
            <w:tcW w:type="dxa" w:w="3020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Trajetória de compra e manutenção</w:t>
            </w:r>
          </w:p>
        </w:tc>
      </w:tr>
      <w:tr>
        <w:trPr>
          <w:cantSplit/>
        </w:trPr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Filtro de sessões usando pico global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Anos legítimos descartados</w:t>
            </w:r>
          </w:p>
        </w:tc>
        <w:tc>
          <w:tcPr>
            <w:tcW w:type="dxa" w:w="3020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Pico móvel local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Normal"/>
      </w:pPr>
      <w:r>
        <w:t>Depois da última correção, o retorno anualizado publicado caiu e a queda máxima subiu de 30,4% para 47,8%. Essa mudança é uma evidência de funcionamento do processo de controle: a auditoria foi capaz de piorar a narrativa quando os dados assim exigiram. Ela não prova que todos os defeitos foram encontrados.</w:t>
      </w:r>
    </w:p>
    <w:p>
      <w:pPr>
        <w:pStyle w:val="Heading1"/>
      </w:pPr>
      <w:r>
        <w:t>6. APLICABILIDADE, IMPLANTAÇÃO E MODELO DE USO</w:t>
      </w:r>
    </w:p>
    <w:p>
      <w:pPr>
        <w:pStyle w:val="Heading2"/>
      </w:pPr>
      <w:r>
        <w:t>6.1 PÚBLICO E PROPOSTA DE VALOR</w:t>
      </w:r>
    </w:p>
    <w:p>
      <w:pPr>
        <w:pStyle w:val="Normal"/>
      </w:pPr>
      <w:r>
        <w:t>O produto foi concebido para escritórios de investimento, consultorias de valores mobiliários, gestores patrimoniais e escritórios multifamiliares. Para a instituição, o Benevente transforma a documentação em consequência do próprio trabalho: a política aplicada, os dados e seus hashes, a elegibilidade, os pesos, as ordens, o custo estimado e a aprovação permanecem ligados à mesma decisão. Para o profissional, isso reduz o tempo gasto reconstruindo uma recomendação. Para o cliente, permite responder tanto por que um papel entrou quanto por que outro ficou de fora.</w:t>
      </w:r>
    </w:p>
    <w:p>
      <w:pPr>
        <w:pStyle w:val="Normal"/>
      </w:pPr>
      <w:r>
        <w:t>O benefício comercial não deve ser apresentado como promessa de superar o mercado. O valor a testar está na consistência do processo, na comparação explícita com alternativas e na capacidade de revisão. O retorno continua sendo medido, acompanhado e discutido, sem se tornar garantia ou substituto da adequação ao perfil do cliente.</w:t>
      </w:r>
    </w:p>
    <w:p>
      <w:pPr>
        <w:pStyle w:val="Heading2"/>
      </w:pPr>
      <w:r>
        <w:t>6.2 FLUXO OPERACIONAL</w:t>
      </w:r>
    </w:p>
    <w:p>
      <w:pPr>
        <w:pStyle w:val="Normal"/>
      </w:pPr>
      <w:r>
        <w:t>O uso começa pela política da instituição. Depois de escolher o perfil e aceitar seus limites, o usuário vê quais arquivos e demonstrações estavam disponíveis e quais passaram na validação. A triagem mostra aprovados e reprovados com o respectivo motivo. A carteira candidata apresenta pesos, parcela defensiva, custo e comparação com CDI, Ibovespa, BOVA11 e MVO. Em seguida, o profissional revisa a tese em linguagem natural, registra riscos, aprova ou rejeita a proposta e informa a justificativa. O dossiê final reúne esse percurso e a versão da regra. Laboratório e documento de decisão são, portanto, duas vistas do mesmo registro, e não etapas desconectadas.</w:t>
      </w:r>
    </w:p>
    <w:p>
      <w:pPr>
        <w:pStyle w:val="Heading2"/>
      </w:pPr>
      <w:r>
        <w:t>6.3 IMPLANTAÇÃO E PILOTO COMERCIAL</w:t>
      </w:r>
    </w:p>
    <w:p>
      <w:pPr>
        <w:pStyle w:val="Normal"/>
      </w:pPr>
      <w:r>
        <w:t>Uma implantação mínima pode ser dividida em três etapas. Na preparação, a instituição define fontes, políticas, perfis de acesso e responsáveis por aprovação. No piloto, o sistema acompanha uma política e um grupo pequeno de carteiras sem enviar ordens, enquanto o escritório confronta os dossiês com o processo que já utiliza. Na operação assistida, a conciliação de custos e posições passa a fechar o ciclo entre proposta e execução. Integração com corretora, custódia, identidade corporativa e arquivo documental pertence a essa última etapa e não precisa bloquear o teste inicial.</w:t>
      </w:r>
    </w:p>
    <w:p>
      <w:pPr>
        <w:pStyle w:val="Normal"/>
      </w:pPr>
      <w:r>
        <w:t>A oferta a validar combina licença institucional e implantação. O piloto deve medir tempo de produção, completude da evidência, revisões, diferença entre custo estimado e executado e disposição a pagar. Um teste no Espírito Santo atende ao recorte do congresso, mas não permite presumir retenção de capital ou geração de negócios no estado. Esse efeito exigiria pesquisa econômica própria.</w:t>
      </w:r>
    </w:p>
    <w:p>
      <w:pPr>
        <w:pStyle w:val="Normal"/>
      </w:pPr>
      <w:r>
        <w:t>O produto permanece em estágio de protótipo reprodutível. A janela de 2015 a 2025 foi usada no desenvolvimento e descreve a amostra, não o futuro. A avaliação prospectiva começa no registro congelado, cujo hash foi versionado e recebeu data carimbada por terceiro. Essa separação entre diagnóstico e acompanhamento futuro é parte do produto, não apenas uma ressalva acadêmica.</w:t>
      </w:r>
    </w:p>
    <w:p>
      <w:pPr>
        <w:pStyle w:val="Heading2"/>
      </w:pPr>
      <w:r>
        <w:t>6.4 MATRIZ DE EVIDÊNCIAS</w:t>
      </w:r>
    </w:p>
    <w:p>
      <w:pPr>
        <w:pStyle w:val="Normal"/>
      </w:pPr>
      <w:r>
        <w:t>A Tabela 9 delimita o que pode ser afirmado na data da submissão. Ela também serve como contrato de comunicação para a demonstração do produto.</w:t>
      </w:r>
    </w:p>
    <w:p>
      <w:pPr>
        <w:keepNext/>
        <w:spacing w:after="0"/>
      </w:pPr>
      <w:r>
        <w:rPr>
          <w:b/>
        </w:rPr>
        <w:t>Tabela 9</w:t>
      </w:r>
    </w:p>
    <w:p>
      <w:pPr>
        <w:keepNext/>
        <w:spacing w:after="80"/>
      </w:pPr>
      <w:r>
        <w:rPr>
          <w:i/>
        </w:rPr>
        <w:t>Matriz de afirmações, evidências e situação</w:t>
      </w:r>
    </w:p>
    <w:tbl>
      <w:tblPr>
        <w:tblW w:type="dxa" w:w="906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3143"/>
        <w:gridCol w:w="3143"/>
        <w:gridCol w:w="2774"/>
      </w:tblGrid>
      <w:tr>
        <w:trPr>
          <w:cantSplit/>
          <w:tblHeader w:val="true"/>
        </w:trPr>
        <w:tc>
          <w:tcPr>
            <w:tcW w:type="dxa" w:w="314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Afirmação</w:t>
            </w:r>
          </w:p>
        </w:tc>
        <w:tc>
          <w:tcPr>
            <w:tcW w:type="dxa" w:w="3143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Evidência disponível</w:t>
            </w:r>
          </w:p>
        </w:tc>
        <w:tc>
          <w:tcPr>
            <w:tcW w:type="dxa" w:w="2774"/>
            <w:vAlign w:val="center"/>
            <w:tcBorders>
              <w:bottom w:val="single" w:sz="8" w:color="000000"/>
            </w:tcBorders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Situação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 artefato preserva dados, regra, pesos e aprovação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Testes funcionais, hashes e dossiês reproduzíveis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Demonstrada no protótipo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auditoria encontra erros que alteram métricas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Sete defeitos reproduzidos e corrigidos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Demonstrada no desenvolvimento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regra superou comparadores entre 2015 e 2025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Diagnóstico sequencial e reamostragem interna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Observada, não prospectiva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série histórica tem qualidade institucional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13,9% da exposição a ações dependeu de imputação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O modelo de linguagem gera retorno adicional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Diferença de −0,05 p.p. e p = 0,989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Há demanda e disposição a pagar</w:t>
            </w:r>
          </w:p>
        </w:tc>
        <w:tc>
          <w:tcPr>
            <w:tcW w:type="dxa" w:w="3143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Piloto ainda não executado</w:t>
            </w:r>
          </w:p>
        </w:tc>
        <w:tc>
          <w:tcPr>
            <w:tcW w:type="dxa" w:w="2774"/>
            <w:vAlign w:val="center"/>
          </w:tcPr>
          <w:p>
            <w:pPr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Não demonstrada</w:t>
            </w:r>
          </w:p>
        </w:tc>
      </w:tr>
      <w:tr>
        <w:trPr>
          <w:cantSplit/>
        </w:trPr>
        <w:tc>
          <w:tcPr>
            <w:tcW w:type="dxa" w:w="314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A regra funciona em dados futuros</w:t>
            </w:r>
          </w:p>
        </w:tc>
        <w:tc>
          <w:tcPr>
            <w:tcW w:type="dxa" w:w="3143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Registro de 16/08/2026, mínimo de três anos</w:t>
            </w:r>
          </w:p>
        </w:tc>
        <w:tc>
          <w:tcPr>
            <w:tcW w:type="dxa" w:w="2774"/>
            <w:vAlign w:val="center"/>
          </w:tcPr>
          <w:p>
            <w:pPr>
              <w:keepNext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Em acompanhamento</w:t>
            </w:r>
          </w:p>
        </w:tc>
      </w:tr>
    </w:tbl>
    <w:p>
      <w:pPr>
        <w:spacing w:before="60" w:after="160" w:line="240" w:lineRule="auto"/>
      </w:pPr>
      <w:r>
        <w:rPr>
          <w:rFonts w:ascii="Times New Roman" w:hAnsi="Times New Roman"/>
          <w:i/>
          <w:sz w:val="16"/>
        </w:rPr>
        <w:t xml:space="preserve">Nota. </w:t>
      </w:r>
      <w:r>
        <w:rPr>
          <w:rFonts w:ascii="Times New Roman" w:hAnsi="Times New Roman"/>
          <w:sz w:val="16"/>
        </w:rPr>
        <w:t>Elaboração própria com base nos artefatos reproduzíveis da pesquisa.</w:t>
      </w:r>
    </w:p>
    <w:p>
      <w:pPr>
        <w:pStyle w:val="Heading1"/>
      </w:pPr>
      <w:r>
        <w:t>7. LIMITAÇÕES E RECOMENDAÇÕES</w:t>
      </w:r>
    </w:p>
    <w:p>
      <w:pPr>
        <w:pStyle w:val="Heading2"/>
      </w:pPr>
      <w:r>
        <w:t>7.1 LIMITAÇÕES</w:t>
      </w:r>
    </w:p>
    <w:p>
      <w:pPr>
        <w:pStyle w:val="Normal"/>
      </w:pPr>
      <w:r>
        <w:t>A primeira limitação é temporal. Onze decisões anuais são poucas, e a janela avaliada também serviu ao desenvolvimento. O prêmio de retrospectiva de 0,65 ponto percentual e o Sharpe deflacionado tratam parte do risco de múltiplas tentativas, mas não equivalem a validação prospectiva. A reamostragem também não cria regimes que a história não contém.</w:t>
      </w:r>
    </w:p>
    <w:p>
      <w:pPr>
        <w:pStyle w:val="Normal"/>
      </w:pPr>
      <w:r>
        <w:t>A segunda limitação está nos dados. A coleta primária avançou para 18.190 eventos e 95,6% dos ativos do painel, mas 22 códigos e 271 eventos manuais ainda bloqueiam a reconciliação integral. Papéis sem cobertura completa recebem, em casos identificados, uma distribuição imputada pela mediana transversal do ano. Essa fragilidade atingiu 13,9% da exposição acumulada a ações e 50% da carteira total em 2020. O novo arquivo melhora a auditabilidade, mas o resultado só poderá ser recalculado e comparado quando o preço bruto, o evento e a conversão estiverem ligados sem lacunas.</w:t>
      </w:r>
    </w:p>
    <w:p>
      <w:pPr>
        <w:pStyle w:val="Normal"/>
      </w:pPr>
      <w:r>
        <w:t>A terceira é econômica. A queda máxima diária chegou a 47,8%, nível incompatível com um perfil conservador e ligeiramente pior que os 47,0% do Ibovespa. O protótipo não demonstrou proteção de capital. A extensão de controle de risco concebida depois da Covid-19 é retrospectiva, não tem imposto intranual conciliado e não demonstrou retorno adicional.</w:t>
      </w:r>
    </w:p>
    <w:p>
      <w:pPr>
        <w:pStyle w:val="Normal"/>
      </w:pPr>
      <w:r>
        <w:t>Por fim, o produto não elimina responsabilidade profissional. Uso comercial exige enquadramento regulatório, política de suitability, segurança, contrato de fontes e aprovação humana. O modelo de linguagem não antecipou a Covid-19, não seleciona ativos e não define pesos. Notícias também não entram no protocolo atual porque não há, neste experimento, um arquivo histórico com horário de publicação e corte verificável.</w:t>
      </w:r>
    </w:p>
    <w:p>
      <w:pPr>
        <w:pStyle w:val="Heading2"/>
      </w:pPr>
      <w:r>
        <w:t>7.2 RECOMENDAÇÕES DE PESQUISA E IMPLANTAÇÃO</w:t>
      </w:r>
    </w:p>
    <w:p>
      <w:pPr>
        <w:pStyle w:val="Normal"/>
      </w:pPr>
      <w:r>
        <w:t>O passo científico prioritário é acumular decisões depois do registro congelado. Em paralelo, a pesquisa deve completar os 22 códigos e resolver os 271 eventos manuais antes de reconstruir o retorno. A reamostragem em blocos já mede dependência serial curta; testes seguintes devem acrescentar trajetórias sintéticas com regimes de baixa prolongada que não estejam limitadas à ordem histórica. Simulação não substitui observação futura. Um estudo com notícias deve ser registrado como braço separado, com frequência trimestral ou orientada a eventos e horário verificável. O passo de produto é um piloto silencioso, sem execução automática, capaz de medir tempo, completude documental, divergência de custos, compreensão do usuário e disposição a pagar.</w:t>
      </w:r>
    </w:p>
    <w:p>
      <w:pPr>
        <w:pStyle w:val="Heading1"/>
      </w:pPr>
      <w:r>
        <w:t>8. CONCLUSÃO</w:t>
      </w:r>
    </w:p>
    <w:p>
      <w:pPr>
        <w:pStyle w:val="Normal"/>
      </w:pPr>
      <w:r>
        <w:t>O Benevente Wealth System foi construído para resolver uma falha operacional específica: carteiras são propostas em um momento e justificadas em outro, enquanto os dados, a regra e a aprovação podem se separar. O protótipo mostrou que é possível produzir a alocação e a evidência da decisão no mesmo fluxo, com fundamentos admitidos pela data de recebimento, regra quantitativa separada da explicação em linguagem natural, custos, imposto e comparadores independentes.</w:t>
      </w:r>
    </w:p>
    <w:p>
      <w:pPr>
        <w:pStyle w:val="Normal"/>
      </w:pPr>
      <w:r>
        <w:t>No diagnóstico de 2015 a 2025, a carteira apresentou retorno anualizado superior aos comparadores e queda máxima semelhante à do mercado. A incerteza da amostra e a dependência parcial de séries imputadas impedem tratar essa diferença como superioridade comprovada. Os testes negativos são informativos: a frequência anual não perdeu para reseleções mais rápidas, o modelo de linguagem não acrescentou retorno e a alocação direta por texto produziu carteiras aritmeticamente inconsistentes em parte dos anos. Esses achados justificam um sistema em que a matemática calcula a alocação, a linguagem ajuda a compreendê-la e uma pessoa conserva a responsabilidade final.</w:t>
      </w:r>
    </w:p>
    <w:p>
      <w:pPr>
        <w:pStyle w:val="Normal"/>
      </w:pPr>
      <w:r>
        <w:t>A conclusão comprovada é mais estreita e mais defensável que a versão anterior do artigo: o artefato cria uma cadeia auditável e usa essa cadeia para descobrir erros que mudam o próprio resultado. A viabilidade comercial será confirmada somente se um piloto mostrar ganho de tempo, completude documental, compreensão e disposição a pagar. A validade financeira exigirá completar a reconciliação primária e acumular dados posteriores ao registro; a política de risco começa sua amostra confirmatória em 2027. Até lá, o desempenho histórico permanece diagnóstico de desenvolvimento.</w:t>
      </w:r>
    </w:p>
    <w:p>
      <w:pPr>
        <w:pStyle w:val="Heading1"/>
      </w:pPr>
      <w:r>
        <w:t>9. DISPONIBILIDADE</w:t>
      </w:r>
    </w:p>
    <w:p>
      <w:pPr>
        <w:pStyle w:val="Normal"/>
      </w:pPr>
      <w:r>
        <w:t>A versão submetida inclui um pacote suplementar anônimo com o código de reprodução, os artefatos de avaliação e o manifesto criptográfico. Os endereços públicos do sistema e do repositório foram omitidos para preservar a avaliação cega. Após o aceite, a versão para publicação deverá restaurar esses endereços e indicar o arquivo permanente com DOI.</w:t>
      </w:r>
    </w:p>
    <w:p>
      <w:pPr>
        <w:pStyle w:val="Heading1"/>
      </w:pPr>
      <w:r>
        <w:t>REFERÊNCIAS</w:t>
      </w:r>
    </w:p>
    <w:p>
      <w:pPr>
        <w:pStyle w:val="Normal"/>
        <w:ind w:left="425" w:hanging="425"/>
        <w:jc w:val="left"/>
      </w:pPr>
      <w:r>
        <w:t xml:space="preserve">Bailey, D. H., Borwein, J. M., López de Prado, M., &amp; Zhu, Q. J. (2017). The probability of backtest overfitting. </w:t>
      </w:r>
      <w:r>
        <w:rPr>
          <w:i/>
        </w:rPr>
        <w:t>Journal of Computational Finance, 20</w:t>
      </w:r>
      <w:r>
        <w:t>(4), 39–69. https://doi.org/10.21314/JCF.2016.322</w:t>
      </w:r>
    </w:p>
    <w:p>
      <w:pPr>
        <w:pStyle w:val="Normal"/>
        <w:ind w:left="425" w:hanging="425"/>
        <w:jc w:val="left"/>
      </w:pPr>
      <w:r>
        <w:t xml:space="preserve">Bailey, D. H., &amp; López de Prado, M. (2014). The deflated Sharpe ratio: Correcting for selection bias, backtest overfitting, and non-normality. </w:t>
      </w:r>
      <w:r>
        <w:rPr>
          <w:i/>
        </w:rPr>
        <w:t>Journal of Portfolio Management, 40</w:t>
      </w:r>
      <w:r>
        <w:t>(5), 94–107. https://doi.org/10.3905/jpm.2014.40.5.094</w:t>
      </w:r>
    </w:p>
    <w:p>
      <w:pPr>
        <w:pStyle w:val="Normal"/>
        <w:ind w:left="425" w:hanging="425"/>
        <w:jc w:val="left"/>
      </w:pPr>
      <w:r>
        <w:t xml:space="preserve">Banco Central do Brasil. (2026). </w:t>
      </w:r>
      <w:r>
        <w:rPr>
          <w:i/>
        </w:rPr>
        <w:t>Sistema Gerenciador de Séries Temporais: série 12, taxa de juros CDI</w:t>
      </w:r>
      <w:r>
        <w:t>. https://www3.bcb.gov.br/sgspub/</w:t>
      </w:r>
    </w:p>
    <w:p>
      <w:pPr>
        <w:pStyle w:val="Normal"/>
        <w:ind w:left="425" w:hanging="425"/>
        <w:jc w:val="left"/>
      </w:pPr>
      <w:r>
        <w:t xml:space="preserve">B3 S.A. – Brasil, Bolsa, Balcão. (2026a). </w:t>
      </w:r>
      <w:r>
        <w:rPr>
          <w:i/>
        </w:rPr>
        <w:t>Cotações históricas: série histórica de preços dos títulos negociados na Bolsa</w:t>
      </w:r>
      <w:r>
        <w:t>. https://www.b3.com.br/pt_br/market-data-e-indices/servicos-de-dados/market-data/historico/mercado-a-vista/cotacoes-historicas/</w:t>
      </w:r>
    </w:p>
    <w:p>
      <w:pPr>
        <w:pStyle w:val="Normal"/>
        <w:ind w:left="425" w:hanging="425"/>
        <w:jc w:val="left"/>
      </w:pPr>
      <w:r>
        <w:t xml:space="preserve">B3 S.A. – Brasil, Bolsa, Balcão. (2026b). </w:t>
      </w:r>
      <w:r>
        <w:rPr>
          <w:i/>
        </w:rPr>
        <w:t>Ibovespa B3</w:t>
      </w:r>
      <w:r>
        <w:t>. https://www.b3.com.br/pt_br/market-data-e-indices/indices/indices-amplos/ibovespa.htm</w:t>
      </w:r>
    </w:p>
    <w:p>
      <w:pPr>
        <w:pStyle w:val="Normal"/>
        <w:ind w:left="425" w:hanging="425"/>
        <w:jc w:val="left"/>
      </w:pPr>
      <w:r>
        <w:t xml:space="preserve">Benevente Wealth System. (2026). </w:t>
      </w:r>
      <w:r>
        <w:rPr>
          <w:i/>
        </w:rPr>
        <w:t>Documentação técnica, repositório de dados e validação de horizontes</w:t>
      </w:r>
      <w:r>
        <w:t>. Repositório anônimo de avaliação.</w:t>
      </w:r>
    </w:p>
    <w:p>
      <w:pPr>
        <w:pStyle w:val="Normal"/>
        <w:ind w:left="425" w:hanging="425"/>
        <w:jc w:val="left"/>
      </w:pPr>
      <w:r>
        <w:t xml:space="preserve">Black, F., &amp; Litterman, R. (1992). Global portfolio optimization. </w:t>
      </w:r>
      <w:r>
        <w:rPr>
          <w:i/>
        </w:rPr>
        <w:t>Financial Analysts Journal, 48</w:t>
      </w:r>
      <w:r>
        <w:t>(5), 28–43. https://doi.org/10.2469/faj.v48.n5.28</w:t>
      </w:r>
    </w:p>
    <w:p>
      <w:pPr>
        <w:pStyle w:val="Normal"/>
        <w:ind w:left="425" w:hanging="425"/>
        <w:jc w:val="left"/>
      </w:pPr>
      <w:r>
        <w:t xml:space="preserve">BlackRock. (2026). </w:t>
      </w:r>
      <w:r>
        <w:rPr>
          <w:i/>
        </w:rPr>
        <w:t>iShares Ibovespa Fundo de Índice (BOVA11): factsheet</w:t>
      </w:r>
      <w:r>
        <w:t>. https://www.blackrock.com/br/literature/fact-sheet/bova11-ishares-ibovespa-fundo-de-ndice-fund-fact-sheet-pt-lm.pdf</w:t>
      </w:r>
    </w:p>
    <w:p>
      <w:pPr>
        <w:pStyle w:val="Normal"/>
        <w:ind w:left="425" w:hanging="425"/>
        <w:jc w:val="left"/>
      </w:pPr>
      <w:r>
        <w:t xml:space="preserve">Comissão de Valores Mobiliários. (2021a). </w:t>
      </w:r>
      <w:r>
        <w:rPr>
          <w:i/>
        </w:rPr>
        <w:t>Resolução CVM nº 19, de 25 de fevereiro de 2021: atividade de consultoria de valores mobiliários</w:t>
      </w:r>
      <w:r>
        <w:t xml:space="preserve"> (texto consolidado). https://conteudo.cvm.gov.br/legislacao/resolucoes/resol019.html</w:t>
      </w:r>
    </w:p>
    <w:p>
      <w:pPr>
        <w:pStyle w:val="Normal"/>
        <w:ind w:left="425" w:hanging="425"/>
        <w:jc w:val="left"/>
      </w:pPr>
      <w:r>
        <w:t xml:space="preserve">Comissão de Valores Mobiliários. (2021b). </w:t>
      </w:r>
      <w:r>
        <w:rPr>
          <w:i/>
        </w:rPr>
        <w:t>Resolução CVM nº 30, de 11 de maio de 2021: adequação dos produtos, serviços e operações ao perfil do cliente</w:t>
      </w:r>
      <w:r>
        <w:t xml:space="preserve"> (texto consolidado). https://conteudo.cvm.gov.br/legislacao/resolucoes/resol030.html</w:t>
      </w:r>
    </w:p>
    <w:p>
      <w:pPr>
        <w:pStyle w:val="Normal"/>
        <w:ind w:left="425" w:hanging="425"/>
        <w:jc w:val="left"/>
      </w:pPr>
      <w:r>
        <w:t xml:space="preserve">Comissão de Valores Mobiliários. (2026a). </w:t>
      </w:r>
      <w:r>
        <w:rPr>
          <w:i/>
        </w:rPr>
        <w:t>Demonstrações Financeiras Padronizadas (DFP): dados abertos</w:t>
      </w:r>
      <w:r>
        <w:t>. https://dados.cvm.gov.br/dataset/cia_aberta-doc-dfp</w:t>
      </w:r>
    </w:p>
    <w:p>
      <w:pPr>
        <w:pStyle w:val="Normal"/>
        <w:ind w:left="425" w:hanging="425"/>
        <w:jc w:val="left"/>
      </w:pPr>
      <w:r>
        <w:t xml:space="preserve">Comissão de Valores Mobiliários. (2026b). </w:t>
      </w:r>
      <w:r>
        <w:rPr>
          <w:i/>
        </w:rPr>
        <w:t>Formulário de Informações Trimestrais (ITR): dados abertos</w:t>
      </w:r>
      <w:r>
        <w:t>. https://dados.cvm.gov.br/dados/CIA_ABERTA/DOC/ITR/DADOS/</w:t>
      </w:r>
    </w:p>
    <w:p>
      <w:pPr>
        <w:pStyle w:val="Normal"/>
        <w:ind w:left="425" w:hanging="425"/>
        <w:jc w:val="left"/>
      </w:pPr>
      <w:r>
        <w:t xml:space="preserve">DeMiguel, V., Garlappi, L., &amp; Uppal, R. (2009). Optimal versus naive diversification: How inefficient is the 1/N portfolio strategy? </w:t>
      </w:r>
      <w:r>
        <w:rPr>
          <w:i/>
        </w:rPr>
        <w:t>Review of Financial Studies, 22</w:t>
      </w:r>
      <w:r>
        <w:t>(5), 1915–1953. https://doi.org/10.1093/rfs/hhm075</w:t>
      </w:r>
    </w:p>
    <w:p>
      <w:pPr>
        <w:pStyle w:val="Normal"/>
        <w:ind w:left="425" w:hanging="425"/>
        <w:jc w:val="left"/>
      </w:pPr>
      <w:r>
        <w:t xml:space="preserve">Fama, E. F., &amp; French, K. R. (2015). A five-factor asset pricing model. </w:t>
      </w:r>
      <w:r>
        <w:rPr>
          <w:i/>
        </w:rPr>
        <w:t>Journal of Financial Economics, 116</w:t>
      </w:r>
      <w:r>
        <w:t>(1), 1–22. https://doi.org/10.1016/j.jfineco.2014.10.010</w:t>
      </w:r>
    </w:p>
    <w:p>
      <w:pPr>
        <w:pStyle w:val="Normal"/>
        <w:ind w:left="425" w:hanging="425"/>
        <w:jc w:val="left"/>
      </w:pPr>
      <w:r>
        <w:t xml:space="preserve">Harvey, C. R., Liu, Y., &amp; Zhu, H. (2016). … and the cross-section of expected returns. </w:t>
      </w:r>
      <w:r>
        <w:rPr>
          <w:i/>
        </w:rPr>
        <w:t>Review of Financial Studies, 29</w:t>
      </w:r>
      <w:r>
        <w:t>(1), 5–68. https://doi.org/10.1093/rfs/hhv059</w:t>
      </w:r>
    </w:p>
    <w:p>
      <w:pPr>
        <w:pStyle w:val="Normal"/>
        <w:ind w:left="425" w:hanging="425"/>
        <w:jc w:val="left"/>
      </w:pPr>
      <w:r>
        <w:t xml:space="preserve">Hevner, A. R., March, S. T., Park, J., &amp; Ram, S. (2004). Design science in information systems research. </w:t>
      </w:r>
      <w:r>
        <w:rPr>
          <w:i/>
        </w:rPr>
        <w:t>MIS Quarterly, 28</w:t>
      </w:r>
      <w:r>
        <w:t>(1), 75–105. https://doi.org/10.2307/25148625</w:t>
      </w:r>
    </w:p>
    <w:p>
      <w:pPr>
        <w:pStyle w:val="Normal"/>
        <w:ind w:left="425" w:hanging="425"/>
        <w:jc w:val="left"/>
      </w:pPr>
      <w:r>
        <w:t xml:space="preserve">Kroll, J. A., Huey, J., Barocas, S., Felten, E. W., Reidenberg, J. R., Robinson, D. G., &amp; Yu, H. (2017). Accountable algorithms. </w:t>
      </w:r>
      <w:r>
        <w:rPr>
          <w:i/>
        </w:rPr>
        <w:t>University of Pennsylvania Law Review, 165</w:t>
      </w:r>
      <w:r>
        <w:t>(3), 633–705.</w:t>
      </w:r>
    </w:p>
    <w:p>
      <w:pPr>
        <w:pStyle w:val="Normal"/>
        <w:ind w:left="425" w:hanging="425"/>
        <w:jc w:val="left"/>
      </w:pPr>
      <w:r>
        <w:t xml:space="preserve">López de Prado, M. (2018). </w:t>
      </w:r>
      <w:r>
        <w:rPr>
          <w:i/>
        </w:rPr>
        <w:t>Advances in financial machine learning</w:t>
      </w:r>
      <w:r>
        <w:t>. Wiley.</w:t>
      </w:r>
    </w:p>
    <w:p>
      <w:pPr>
        <w:pStyle w:val="Normal"/>
        <w:ind w:left="425" w:hanging="425"/>
        <w:jc w:val="left"/>
      </w:pPr>
      <w:r>
        <w:t xml:space="preserve">Markowitz, H. (1952). Portfolio selection. </w:t>
      </w:r>
      <w:r>
        <w:rPr>
          <w:i/>
        </w:rPr>
        <w:t>Journal of Finance, 7</w:t>
      </w:r>
      <w:r>
        <w:t>(1), 77–91. https://doi.org/10.2307/2975974</w:t>
      </w:r>
    </w:p>
    <w:p>
      <w:pPr>
        <w:pStyle w:val="Normal"/>
        <w:ind w:left="425" w:hanging="425"/>
        <w:jc w:val="left"/>
      </w:pPr>
      <w:r>
        <w:t xml:space="preserve">Novy-Marx, R. (2013). The other side of value: The gross profitability premium. </w:t>
      </w:r>
      <w:r>
        <w:rPr>
          <w:i/>
        </w:rPr>
        <w:t>Journal of Financial Economics, 108</w:t>
      </w:r>
      <w:r>
        <w:t>(1), 1–28. https://doi.org/10.1016/j.jfineco.2013.01.003</w:t>
      </w:r>
    </w:p>
    <w:p>
      <w:pPr>
        <w:pStyle w:val="Normal"/>
        <w:ind w:left="425" w:hanging="425"/>
        <w:jc w:val="left"/>
      </w:pPr>
      <w:r>
        <w:t xml:space="preserve">Novy-Marx, R., &amp; Velikov, M. (2016). A taxonomy of anomalies and their trading costs. </w:t>
      </w:r>
      <w:r>
        <w:rPr>
          <w:i/>
        </w:rPr>
        <w:t>Review of Financial Studies, 29</w:t>
      </w:r>
      <w:r>
        <w:t>(1), 104–147. https://doi.org/10.1093/rfs/hhv063</w:t>
      </w:r>
    </w:p>
    <w:p>
      <w:pPr>
        <w:pStyle w:val="Normal"/>
        <w:ind w:left="425" w:hanging="425"/>
        <w:jc w:val="left"/>
      </w:pPr>
      <w:r>
        <w:t xml:space="preserve">Peffers, K., Tuunanen, T., Rothenberger, M. A., &amp; Chatterjee, S. (2007). A design science research methodology for information systems research. </w:t>
      </w:r>
      <w:r>
        <w:rPr>
          <w:i/>
        </w:rPr>
        <w:t>Journal of Management Information Systems, 24</w:t>
      </w:r>
      <w:r>
        <w:t>(3), 45–77. https://doi.org/10.2753/MIS0742-1222240302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0" w:top="3119" w:footer="709" w:bottom="2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 w15">
  <ns0:p>
    <ns0:pPr>
      <ns0:pStyle ns0:val="Footer"/>
      <ns0:tabs>
        <ns0:tab ns0:val="clear" ns0:pos="708"/>
        <ns0:tab ns0:val="left" ns0:pos="5685" ns0:leader="none"/>
        <ns0:tab ns0:val="right" ns0:pos="9070" ns0:leader="none"/>
      </ns0:tabs>
      <ns0:rPr/>
    </ns0:pPr>
    <ns0:r>
      <ns0:drawing>
        <ns2:anchor behindDoc="1" distT="0" distB="0" distL="114935" distR="114935" simplePos="0" locked="0" layoutInCell="1" allowOverlap="1" relativeHeight="7">
          <ns2:simplePos x="0" y="0"/>
          <ns2:positionH relativeFrom="column">
            <ns2:posOffset>2168525</ns2:posOffset>
          </ns2:positionH>
          <ns2:positionV relativeFrom="paragraph">
            <ns2:posOffset>-638175</ns2:posOffset>
          </ns2:positionV>
          <ns2:extent cx="1558925" cy="1131570"/>
          <ns2:effectExtent l="0" t="0" r="0" b="0"/>
          <ns2:wrapNone/>
          <ns2:docPr id="2" name="Image1" descr="Logotipo da Fucape Business School" title="Logotipo da Fucape Business School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2" name="Image1" descr="" title=""/>
                  <ns4:cNvPicPr>
                    <ns3:picLocks noChangeAspect="1" noChangeArrowheads="1"/>
                  </ns4:cNvPicPr>
                </ns4:nvPicPr>
                <ns4:blipFill>
                  <ns3:blip ns5:embed="rId1"/>
                  <ns3:srcRect l="31175" t="-33" r="48994" b="-33"/>
                  <ns3:stretch>
                    <ns3:fillRect/>
                  </ns3:stretch>
                </ns4:blipFill>
                <ns4:spPr bwMode="auto">
                  <ns3:xfrm>
                    <ns3:off x="0" y="0"/>
                    <ns3:ext cx="1558925" cy="1131570"/>
                  </ns3:xfrm>
                  <ns3:prstGeom prst="rect">
                    <ns3:avLst/>
                  </ns3:prstGeom>
                </ns4:spPr>
              </ns4:pic>
            </ns3:graphicData>
          </ns3:graphic>
        </ns2:anchor>
      </ns0:drawing>
    </ns0:r>
    <ns0:r>
      <ns0:rPr>
        <ns0:rFonts ns0:cs="Arial" ns0:ascii="Arial" ns0:hAnsi="Arial"/>
        <ns0:b/>
        <ns0:sz ns0:val="16"/>
      </ns0:rPr>
      <ns0:tab/>
      <ns0:tab/>
      <ns0:tab/>
      <ns0:tab/>
    </ns0:r>
    <ns0:r>
      <ns0:rPr>
        <ns0:rFonts ns0:cs="Arial" ns0:ascii="Arial" ns0:hAnsi="Arial"/>
        <ns0:b/>
        <ns0:sz ns0:val="16"/>
      </ns0:rPr>
      <ns0:fldChar ns0:fldCharType="begin"/>
    </ns0:r>
    <ns0:r>
      <ns0:rPr>
        <ns0:sz ns0:val="16"/>
        <ns0:b/>
        <ns0:rFonts ns0:cs="Arial" ns0:ascii="Arial" ns0:hAnsi="Arial"/>
      </ns0:rPr>
      <ns0:instrText xml:space="preserve"> PAGE </ns0:instrText>
    </ns0:r>
    <ns0:r>
      <ns0:rPr>
        <ns0:sz ns0:val="16"/>
        <ns0:b/>
        <ns0:rFonts ns0:cs="Arial" ns0:ascii="Arial" ns0:hAnsi="Arial"/>
      </ns0:rPr>
      <ns0:fldChar ns0:fldCharType="separate"/>
    </ns0:r>
    <ns0:r>
      <ns0:rPr>
        <ns0:sz ns0:val="16"/>
        <ns0:b/>
        <ns0:rFonts ns0:cs="Arial" ns0:ascii="Arial" ns0:hAnsi="Arial"/>
      </ns0:rPr>
      <ns0:t>3</ns0:t>
    </ns0:r>
    <ns0:r>
      <ns0:rPr>
        <ns0:sz ns0:val="16"/>
        <ns0:b/>
        <ns0:rFonts ns0:cs="Arial" ns0:ascii="Arial" ns0:hAnsi="Arial"/>
      </ns0:rPr>
      <ns0:fldChar ns0:fldCharType="end"/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 w15">
  <ns0:p>
    <ns0:pPr>
      <ns0:pStyle ns0:val="Header"/>
      <ns0:ind ns0:hanging="1560" ns0:end="0"/>
      <ns0:rPr>
        <ns0:lang ns0:val="en-US" ns0:eastAsia="en-US"/>
      </ns0:rPr>
    </ns0:pPr>
    <ns0:r>
      <ns0:rPr>
        <ns0:lang ns0:val="en-US" ns0:eastAsia="en-US"/>
      </ns0:rPr>
      <ns0:drawing>
        <ns2:anchor behindDoc="1" distT="0" distB="0" distL="114935" distR="114935" simplePos="0" locked="0" layoutInCell="0" allowOverlap="1" relativeHeight="4">
          <ns2:simplePos x="0" y="0"/>
          <ns2:positionH relativeFrom="margin">
            <ns2:align>center</ns2:align>
          </ns2:positionH>
          <ns2:positionV relativeFrom="paragraph">
            <ns2:posOffset>635</ns2:posOffset>
          </ns2:positionV>
          <ns2:extent cx="7750810" cy="923925"/>
          <ns2:effectExtent l="0" t="0" r="0" b="0"/>
          <ns2:wrapNone/>
          <ns2:docPr id="1" name="Imagem 2" descr="Identidade visual do Business Tech Congress 2026" title="Identidade visual do Business Tech Congress 2026"/>
          <ns2:cNvGraphicFramePr>
            <ns3:graphicFrameLocks noChangeAspect="1"/>
          </ns2:cNvGraphicFramePr>
          <ns3:graphic>
            <ns3:graphicData uri="http://schemas.openxmlformats.org/drawingml/2006/picture">
              <ns4:pic>
                <ns4:nvPicPr>
                  <ns4:cNvPr id="1" name="Imagem 2" descr="" title=""/>
                  <ns4:cNvPicPr>
                    <ns3:picLocks noChangeAspect="1" noChangeArrowheads="1"/>
                  </ns4:cNvPicPr>
                </ns4:nvPicPr>
                <ns4:blipFill>
                  <ns3:blip ns5:embed="rId1"/>
                  <ns3:srcRect l="-5" t="-40" r="-5" b="-40"/>
                  <ns3:stretch>
                    <ns3:fillRect/>
                  </ns3:stretch>
                </ns4:blipFill>
                <ns4:spPr bwMode="auto">
                  <ns3:xfrm>
                    <ns3:off x="0" y="0"/>
                    <ns3:ext cx="7750810" cy="923925"/>
                  </ns3:xfrm>
                  <ns3:prstGeom prst="rect">
                    <ns3:avLst/>
                  </ns3:prstGeom>
                </ns4:spPr>
              </ns4:pic>
            </ns3:graphicData>
          </ns3:graphic>
        </ns2:anchor>
      </ns0:drawing>
    </ns0:r>
  </ns0:p>
</ns0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abstractNum w:abstractNumId="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3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4">
    <w:abstractNumId w:val="4"/>
  </w:num>
  <w:abstractNum w:abstractNumId="5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Times New Roman"/>
      <w:color w:val="000000"/>
      <w:sz w:val="24"/>
      <w:szCs w:val="22"/>
      <w:lang w:val="pt-BR" w:bidi="ar-SA" w:eastAsia="zh-CN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Articletitle">
    <w:name w:val="Article title"/>
    <w:basedOn w:val="Normal"/>
    <w:next w:val="Normal"/>
    <w:qFormat/>
    <w:pPr>
      <w:spacing w:lineRule="auto" w:line="360" w:before="0" w:after="120"/>
    </w:pPr>
    <w:rPr>
      <w:rFonts w:ascii="Times New Roman" w:hAnsi="Times New Roman" w:eastAsia="Times New Roman" w:cs="Times New Roman"/>
      <w:b/>
      <w:sz w:val="28"/>
      <w:szCs w:val="24"/>
      <w:lang w:val="en-GB"/>
    </w:rPr>
  </w:style>
  <w:style w:type="paragraph" w:styleId="Authornames">
    <w:name w:val="Author names"/>
    <w:basedOn w:val="Normal"/>
    <w:next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 w:val="28"/>
      <w:szCs w:val="24"/>
      <w:lang w:val="en-GB"/>
    </w:rPr>
  </w:style>
  <w:style w:type="paragraph" w:styleId="Affiliation">
    <w:name w:val="Affiliation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i/>
      <w:sz w:val="24"/>
      <w:szCs w:val="24"/>
      <w:lang w:val="en-GB"/>
    </w:rPr>
  </w:style>
  <w:style w:type="paragraph" w:styleId="Correspondencedetails">
    <w:name w:val="Correspondence details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 w:val="24"/>
      <w:szCs w:val="24"/>
      <w:lang w:val="en-GB"/>
    </w:rPr>
  </w:style>
  <w:style w:type="paragraph" w:styleId="Notesoncontributors">
    <w:name w:val="Notes on contributors"/>
    <w:basedOn w:val="Normal"/>
    <w:qFormat/>
    <w:pPr>
      <w:spacing w:lineRule="auto" w:line="360" w:before="240" w:after="0"/>
    </w:pPr>
    <w:rPr>
      <w:rFonts w:ascii="Times New Roman" w:hAnsi="Times New Roman" w:eastAsia="Times New Roman" w:cs="Times New Roman"/>
      <w:szCs w:val="24"/>
      <w:lang w:val="en-GB"/>
    </w:rPr>
  </w:style>
  <w:style w:type="numbering" w:styleId="WW8Num1">
    <w:name w:val="WW8Num1"/>
    <w:qFormat/>
  </w:style>
  <w:style w:type="paragraph" w:customStyle="1" w:styleId="Heading1">
    <w:name w:val="heading 1"/>
    <w:pPr>
      <w:keepNext/>
      <w:spacing w:before="180" w:after="0"/>
      <w:ind w:firstLine="0"/>
      <w:jc w:val="left"/>
    </w:pPr>
    <w:rPr>
      <w:rFonts w:ascii="Times New Roman" w:hAnsi="Times New Roman"/>
      <w:b/>
      <w:color w:val="000000"/>
      <w:sz w:val="24"/>
    </w:rPr>
  </w:style>
  <w:style w:type="paragraph" w:customStyle="1" w:styleId="Heading2">
    <w:name w:val="heading 2"/>
    <w:pPr>
      <w:keepNext/>
      <w:spacing w:before="180" w:after="0"/>
      <w:ind w:firstLine="0"/>
      <w:jc w:val="left"/>
    </w:pPr>
    <w:rPr>
      <w:rFonts w:ascii="Times New Roman" w:hAnsi="Times New Roman"/>
      <w:b w:val="0"/>
      <w:color w:val="000000"/>
      <w:sz w:val="24"/>
    </w:rPr>
  </w:style>
  <w:style w:type="paragraph" w:customStyle="1" w:styleId="Heading3">
    <w:name w:val="heading 3"/>
    <w:pPr>
      <w:keepNext/>
      <w:spacing w:before="180" w:after="0"/>
      <w:ind w:firstLine="0"/>
      <w:jc w:val="left"/>
    </w:pPr>
    <w:rPr>
      <w:rFonts w:ascii="Times New Roman" w:hAnsi="Times New Roman"/>
      <w:b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2025-04-24T20:59:00Z</ns1:created>
  <dc:creator/>
  <dc:description/>
  <ns0:keywords>B-Tech Congress</ns0:keywords>
  <dc:language>en-US</dc:language>
  <ns0:lastModifiedBy/>
  <ns0:lastPrinted>2023-10-30T16:07:00Z</ns0:lastPrinted>
  <ns1:modified xsi:type="dcterms:W3CDTF">2026-07-17T19:38:00Z</ns1:modified>
  <ns0:revision>4</ns0:revision>
  <dc:subject>Manuscrito tecnológico BTech 2026</dc:subject>
  <dc:title>Benevente Wealth System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0x01010094CE45E10688534BB1C51E13BE7FBA2E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lcf76f155ced4ddcb4097134ff3c332f">
    <vt:lpwstr/>
  </property>
</Properties>
</file>