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Arrojado · decisão de 04/01/2016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24,0%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15%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85% do alvo; severo: 20%/50% → 60%;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SMLE3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20,40%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-22,5%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43,5%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15,82%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-50,6%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46,3%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12,91%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11,78%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-48,1%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43,9%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ENBR3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6,24%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0,909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38,6%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LREN3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4,63%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0,879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17,8%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32,2%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2016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Arrojado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31,97%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-5,38%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13,32%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38,93%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SMLE3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28,1%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98,9%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49,5%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ENBR3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20,0%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LREN3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46,5%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