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13,73%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18,59%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35,2%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8,57%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5,45%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5,18%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48,6%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23,58%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17,14%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26,86%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-8,2%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