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44,3%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11,79%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58,8%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7,83%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38,0%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41,51%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9,12%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6,13%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15,03%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129,0%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45,4%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-1,5%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